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0D978E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7D56FD">
        <w:t>4</w:t>
      </w:r>
      <w:r w:rsidR="0083546B">
        <w:t>-e</w:t>
      </w:r>
      <w:r w:rsidRPr="00CE0424">
        <w:tab/>
      </w:r>
      <w:bookmarkStart w:id="0" w:name="_GoBack"/>
      <w:bookmarkEnd w:id="0"/>
      <w:r w:rsidR="00091557" w:rsidRPr="00CE0424">
        <w:rPr>
          <w:sz w:val="32"/>
          <w:szCs w:val="32"/>
        </w:rPr>
        <w:t>R</w:t>
      </w:r>
      <w:r w:rsidR="008F1C4E">
        <w:rPr>
          <w:sz w:val="32"/>
          <w:szCs w:val="32"/>
        </w:rPr>
        <w:t>1</w:t>
      </w:r>
      <w:r w:rsidR="00091557" w:rsidRPr="00CE0424">
        <w:rPr>
          <w:sz w:val="32"/>
          <w:szCs w:val="32"/>
        </w:rPr>
        <w:t>-</w:t>
      </w:r>
      <w:r w:rsidR="005207F4">
        <w:rPr>
          <w:sz w:val="32"/>
          <w:szCs w:val="32"/>
        </w:rPr>
        <w:t>2</w:t>
      </w:r>
      <w:r w:rsidR="00AB3BF0">
        <w:rPr>
          <w:sz w:val="32"/>
          <w:szCs w:val="32"/>
        </w:rPr>
        <w:t>100930</w:t>
      </w:r>
    </w:p>
    <w:p w14:paraId="0CE7B7E6" w14:textId="0ACE14C0" w:rsidR="00E90E49" w:rsidRPr="00CE0424" w:rsidRDefault="00E411DE" w:rsidP="00311702">
      <w:pPr>
        <w:pStyle w:val="3GPPHeader"/>
      </w:pPr>
      <w:r>
        <w:t>e-Meeting</w:t>
      </w:r>
      <w:r w:rsidR="0083546B">
        <w:t xml:space="preserve">, </w:t>
      </w:r>
      <w:r w:rsidR="007D56FD">
        <w:t>January</w:t>
      </w:r>
      <w:r w:rsidR="0083546B">
        <w:t xml:space="preserve"> 2</w:t>
      </w:r>
      <w:r w:rsidR="007D56FD">
        <w:t>5</w:t>
      </w:r>
      <w:r w:rsidR="0083546B" w:rsidRPr="0083546B">
        <w:rPr>
          <w:vertAlign w:val="superscript"/>
        </w:rPr>
        <w:t>th</w:t>
      </w:r>
      <w:r w:rsidR="0083546B">
        <w:t xml:space="preserve"> – </w:t>
      </w:r>
      <w:r w:rsidR="007D56FD">
        <w:t>February</w:t>
      </w:r>
      <w:r w:rsidR="0083546B">
        <w:t xml:space="preserve"> </w:t>
      </w:r>
      <w:r w:rsidR="007D56FD">
        <w:t>5</w:t>
      </w:r>
      <w:r w:rsidR="0083546B" w:rsidRPr="0083546B">
        <w:rPr>
          <w:vertAlign w:val="superscript"/>
        </w:rPr>
        <w:t>th</w:t>
      </w:r>
      <w:r w:rsidR="007D56FD">
        <w:t xml:space="preserve">, </w:t>
      </w:r>
      <w:r w:rsidR="0083546B">
        <w:t>202</w:t>
      </w:r>
      <w:r w:rsidR="007D56FD">
        <w:t>1</w:t>
      </w:r>
    </w:p>
    <w:p w14:paraId="3086AC07" w14:textId="77777777" w:rsidR="00E90E49" w:rsidRPr="00CE0424" w:rsidRDefault="00E90E49" w:rsidP="00357380">
      <w:pPr>
        <w:pStyle w:val="3GPPHeader"/>
      </w:pPr>
    </w:p>
    <w:p w14:paraId="3982483C" w14:textId="6B68F7F4"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E1287F" w:rsidRPr="006451E5">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FC69686" w:rsidR="00E90E49" w:rsidRPr="00CE0424" w:rsidRDefault="003D3C45" w:rsidP="00311702">
      <w:pPr>
        <w:pStyle w:val="3GPPHeader"/>
        <w:rPr>
          <w:sz w:val="22"/>
        </w:rPr>
      </w:pPr>
      <w:r w:rsidRPr="00A34770">
        <w:rPr>
          <w:sz w:val="22"/>
        </w:rPr>
        <w:t>Title:</w:t>
      </w:r>
      <w:r w:rsidR="00E90E49" w:rsidRPr="00A34770">
        <w:rPr>
          <w:sz w:val="22"/>
        </w:rPr>
        <w:tab/>
      </w:r>
      <w:r w:rsidR="00FF4574">
        <w:rPr>
          <w:sz w:val="22"/>
        </w:rPr>
        <w:t>On</w:t>
      </w:r>
      <w:r w:rsidR="00AF0D36">
        <w:rPr>
          <w:sz w:val="22"/>
        </w:rPr>
        <w:t xml:space="preserve"> scenarios</w:t>
      </w:r>
      <w:r w:rsidR="00E411DE">
        <w:rPr>
          <w:sz w:val="22"/>
        </w:rPr>
        <w:t xml:space="preserve"> and evaluations</w:t>
      </w:r>
      <w:r w:rsidR="00A34770" w:rsidRPr="00A34770">
        <w:rPr>
          <w:sz w:val="22"/>
        </w:rPr>
        <w:t xml:space="preserve"> </w:t>
      </w:r>
      <w:r w:rsidR="00AF0D36">
        <w:rPr>
          <w:sz w:val="22"/>
        </w:rPr>
        <w:t xml:space="preserve">for </w:t>
      </w:r>
      <w:r w:rsidR="00E411DE">
        <w:rPr>
          <w:sz w:val="22"/>
        </w:rPr>
        <w:t>eMTC</w:t>
      </w:r>
      <w:r w:rsidR="0041428E">
        <w:rPr>
          <w:sz w:val="22"/>
        </w:rPr>
        <w:t xml:space="preserve"> and NB-IoT</w:t>
      </w:r>
      <w:r w:rsidR="00E411DE">
        <w:rPr>
          <w:sz w:val="22"/>
        </w:rPr>
        <w:t xml:space="preserve"> based </w:t>
      </w:r>
      <w:r w:rsidR="00A34770" w:rsidRPr="00A34770">
        <w:rPr>
          <w:sz w:val="22"/>
        </w:rPr>
        <w:t>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64EABC8B" w:rsidR="008A2DB9" w:rsidRPr="007D56FD" w:rsidRDefault="00A34770" w:rsidP="00CE0424">
      <w:pPr>
        <w:pStyle w:val="BodyText"/>
        <w:rPr>
          <w:sz w:val="22"/>
        </w:rPr>
      </w:pPr>
      <w:r w:rsidRPr="007D56FD">
        <w:rPr>
          <w:sz w:val="22"/>
        </w:rPr>
        <w:t xml:space="preserve">In RAN#86, a Rel-17 Study Item (SI) on IoT NTN was approved to evaluate the feasibility of NTN for NB-IoT and </w:t>
      </w:r>
      <w:r w:rsidR="00E411DE" w:rsidRPr="007D56FD">
        <w:rPr>
          <w:sz w:val="22"/>
        </w:rPr>
        <w:t>eMTC</w:t>
      </w:r>
      <w:r w:rsidR="007D56FD" w:rsidRPr="007D56FD">
        <w:rPr>
          <w:sz w:val="22"/>
        </w:rPr>
        <w:t xml:space="preserve"> and the </w:t>
      </w:r>
      <w:r w:rsidR="003D5B9A">
        <w:rPr>
          <w:sz w:val="22"/>
        </w:rPr>
        <w:t>S</w:t>
      </w:r>
      <w:r w:rsidR="003D5B9A" w:rsidRPr="007D56FD">
        <w:rPr>
          <w:sz w:val="22"/>
        </w:rPr>
        <w:t xml:space="preserve">tudy </w:t>
      </w:r>
      <w:r w:rsidR="003D5B9A">
        <w:rPr>
          <w:sz w:val="22"/>
        </w:rPr>
        <w:t>I</w:t>
      </w:r>
      <w:r w:rsidR="003D5B9A" w:rsidRPr="007D56FD">
        <w:rPr>
          <w:sz w:val="22"/>
        </w:rPr>
        <w:t xml:space="preserve">tem </w:t>
      </w:r>
      <w:r w:rsidR="003D5B9A">
        <w:rPr>
          <w:sz w:val="22"/>
        </w:rPr>
        <w:t>D</w:t>
      </w:r>
      <w:r w:rsidR="003D5B9A" w:rsidRPr="007D56FD">
        <w:rPr>
          <w:sz w:val="22"/>
        </w:rPr>
        <w:t>escription</w:t>
      </w:r>
      <w:r w:rsidR="003D5B9A">
        <w:rPr>
          <w:sz w:val="22"/>
        </w:rPr>
        <w:t xml:space="preserve"> (SID)</w:t>
      </w:r>
      <w:r w:rsidR="007D56FD" w:rsidRPr="007D56FD">
        <w:rPr>
          <w:sz w:val="22"/>
        </w:rPr>
        <w:t xml:space="preserve"> is updated in</w:t>
      </w:r>
      <w:r w:rsidR="00A647A4">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2C45CD">
        <w:rPr>
          <w:sz w:val="22"/>
        </w:rPr>
        <w:t>[1]</w:t>
      </w:r>
      <w:r w:rsidR="00A647A4">
        <w:rPr>
          <w:sz w:val="22"/>
        </w:rPr>
        <w:fldChar w:fldCharType="end"/>
      </w:r>
      <w:r w:rsidRPr="007D56FD">
        <w:rPr>
          <w:sz w:val="22"/>
        </w:rPr>
        <w:t xml:space="preserve">. </w:t>
      </w:r>
      <w:r w:rsidR="008A2DB9" w:rsidRPr="007D56FD">
        <w:rPr>
          <w:sz w:val="22"/>
        </w:rPr>
        <w:t>It was agreed to u</w:t>
      </w:r>
      <w:r w:rsidRPr="007D56FD">
        <w:rPr>
          <w:sz w:val="22"/>
        </w:rPr>
        <w:t>s</w:t>
      </w:r>
      <w:r w:rsidR="008A2DB9" w:rsidRPr="007D56FD">
        <w:rPr>
          <w:sz w:val="22"/>
        </w:rPr>
        <w:t>e</w:t>
      </w:r>
      <w:r w:rsidRPr="007D56FD">
        <w:rPr>
          <w:sz w:val="22"/>
        </w:rPr>
        <w:t xml:space="preserve"> the existing work on NR NTN captured in TR 38.</w:t>
      </w:r>
      <w:r w:rsidR="00E411DE" w:rsidRPr="007D56FD">
        <w:rPr>
          <w:sz w:val="22"/>
        </w:rPr>
        <w:t>8</w:t>
      </w:r>
      <w:r w:rsidRPr="007D56FD">
        <w:rPr>
          <w:sz w:val="22"/>
        </w:rPr>
        <w:t xml:space="preserve">21 </w:t>
      </w:r>
      <w:r w:rsidR="00BD4F1F" w:rsidRPr="007D56FD">
        <w:rPr>
          <w:sz w:val="22"/>
        </w:rPr>
        <w:fldChar w:fldCharType="begin"/>
      </w:r>
      <w:r w:rsidR="00BD4F1F" w:rsidRPr="007D56FD">
        <w:rPr>
          <w:sz w:val="22"/>
        </w:rPr>
        <w:instrText xml:space="preserve"> REF _Ref49798325 \r \h </w:instrText>
      </w:r>
      <w:r w:rsidR="00E731A9" w:rsidRPr="007D56FD">
        <w:rPr>
          <w:sz w:val="22"/>
        </w:rPr>
        <w:instrText xml:space="preserve"> \* MERGEFORMAT </w:instrText>
      </w:r>
      <w:r w:rsidR="00BD4F1F" w:rsidRPr="007D56FD">
        <w:rPr>
          <w:sz w:val="22"/>
        </w:rPr>
      </w:r>
      <w:r w:rsidR="00BD4F1F" w:rsidRPr="007D56FD">
        <w:rPr>
          <w:sz w:val="22"/>
        </w:rPr>
        <w:fldChar w:fldCharType="separate"/>
      </w:r>
      <w:r w:rsidR="002C45CD">
        <w:rPr>
          <w:sz w:val="22"/>
        </w:rPr>
        <w:t>[2]</w:t>
      </w:r>
      <w:r w:rsidR="00BD4F1F" w:rsidRPr="007D56FD">
        <w:rPr>
          <w:sz w:val="22"/>
        </w:rPr>
        <w:fldChar w:fldCharType="end"/>
      </w:r>
      <w:r w:rsidR="00BD4F1F" w:rsidRPr="007D56FD">
        <w:rPr>
          <w:sz w:val="22"/>
        </w:rPr>
        <w:t xml:space="preserve"> </w:t>
      </w:r>
      <w:r w:rsidRPr="007D56FD">
        <w:rPr>
          <w:sz w:val="22"/>
        </w:rPr>
        <w:t xml:space="preserve">as </w:t>
      </w:r>
      <w:r w:rsidR="00BD4F1F" w:rsidRPr="007D56FD">
        <w:rPr>
          <w:sz w:val="22"/>
        </w:rPr>
        <w:t xml:space="preserve">a </w:t>
      </w:r>
      <w:r w:rsidRPr="007D56FD">
        <w:rPr>
          <w:sz w:val="22"/>
        </w:rPr>
        <w:t>baseline</w:t>
      </w:r>
      <w:r w:rsidR="008A2DB9" w:rsidRPr="007D56FD">
        <w:rPr>
          <w:sz w:val="22"/>
        </w:rPr>
        <w:t xml:space="preserve">. The </w:t>
      </w:r>
      <w:r w:rsidR="00AF0D36" w:rsidRPr="007D56FD">
        <w:rPr>
          <w:sz w:val="22"/>
        </w:rPr>
        <w:t>first</w:t>
      </w:r>
      <w:r w:rsidR="00A57255" w:rsidRPr="007D56FD">
        <w:rPr>
          <w:sz w:val="22"/>
        </w:rPr>
        <w:t xml:space="preserve"> </w:t>
      </w:r>
      <w:r w:rsidR="008A2DB9" w:rsidRPr="007D56FD">
        <w:rPr>
          <w:sz w:val="22"/>
        </w:rPr>
        <w:t>objective</w:t>
      </w:r>
      <w:r w:rsidR="0041428E" w:rsidRPr="007D56FD">
        <w:rPr>
          <w:sz w:val="22"/>
        </w:rPr>
        <w:t xml:space="preserve"> of this study </w:t>
      </w:r>
      <w:r w:rsidR="00AF0D36" w:rsidRPr="007D56FD">
        <w:rPr>
          <w:sz w:val="22"/>
        </w:rPr>
        <w:t>is</w:t>
      </w:r>
      <w:r w:rsidR="008A2DB9" w:rsidRPr="007D56FD">
        <w:rPr>
          <w:sz w:val="22"/>
        </w:rPr>
        <w:t xml:space="preserve"> as follows.</w:t>
      </w:r>
      <w:r w:rsidRPr="007D56FD">
        <w:rPr>
          <w:sz w:val="22"/>
        </w:rPr>
        <w:t xml:space="preserve"> </w:t>
      </w:r>
      <w:r w:rsidR="008A2DB9" w:rsidRPr="007D56FD">
        <w:rPr>
          <w:sz w:val="22"/>
        </w:rPr>
        <w:t xml:space="preserve"> </w:t>
      </w:r>
    </w:p>
    <w:p w14:paraId="444D3712" w14:textId="3C8B218A" w:rsidR="0041428E" w:rsidRPr="00E731A9" w:rsidRDefault="0041428E" w:rsidP="00AF0D36">
      <w:pPr>
        <w:rPr>
          <w:rFonts w:cs="Arial"/>
          <w:i/>
          <w:iCs/>
          <w:sz w:val="22"/>
        </w:rPr>
      </w:pPr>
      <w:r w:rsidRPr="00E731A9">
        <w:rPr>
          <w:noProof/>
          <w:sz w:val="22"/>
        </w:rPr>
        <mc:AlternateContent>
          <mc:Choice Requires="wps">
            <w:drawing>
              <wp:inline distT="0" distB="0" distL="0" distR="0" wp14:anchorId="548A624D" wp14:editId="6F0E8D8A">
                <wp:extent cx="6120765" cy="2269067"/>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9067"/>
                        </a:xfrm>
                        <a:prstGeom prst="rect">
                          <a:avLst/>
                        </a:prstGeom>
                        <a:solidFill>
                          <a:schemeClr val="lt1">
                            <a:lumMod val="100000"/>
                            <a:lumOff val="0"/>
                          </a:schemeClr>
                        </a:solidFill>
                        <a:ln w="6350">
                          <a:solidFill>
                            <a:srgbClr val="000000"/>
                          </a:solidFill>
                          <a:miter lim="800000"/>
                          <a:headEnd/>
                          <a:tailEnd/>
                        </a:ln>
                      </wps:spPr>
                      <wps:txbx>
                        <w:txbxContent>
                          <w:p w14:paraId="5C258023" w14:textId="77777777" w:rsidR="00A647A4" w:rsidRPr="00E731A9" w:rsidRDefault="00A647A4"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NB-IoT/eMTC [RAN1, RAN2], including:</w:t>
                            </w:r>
                          </w:p>
                          <w:p w14:paraId="25B19C61"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647A4" w:rsidRPr="00E731A9" w:rsidRDefault="00A647A4"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647A4" w:rsidRPr="00E731A9" w:rsidRDefault="00A647A4"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NB-IoT/eMTC assumptions.</w:t>
                            </w:r>
                          </w:p>
                          <w:p w14:paraId="42481DA9" w14:textId="77777777" w:rsidR="00A647A4" w:rsidRPr="0041428E" w:rsidRDefault="00A647A4" w:rsidP="0041428E">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548A624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Aoz1rdGAgAAiAQA&#10;AA4AAAAAAAAAAAAAAAAALgIAAGRycy9lMm9Eb2MueG1sUEsBAi0AFAAGAAgAAAAhADvhLx7aAAAA&#10;BQEAAA8AAAAAAAAAAAAAAAAAoAQAAGRycy9kb3ducmV2LnhtbFBLBQYAAAAABAAEAPMAAACnBQAA&#10;AAA=&#10;" fillcolor="white [3201]" strokeweight=".5pt">
                <v:textbox>
                  <w:txbxContent>
                    <w:p w14:paraId="5C258023" w14:textId="77777777" w:rsidR="00A647A4" w:rsidRPr="00E731A9" w:rsidRDefault="00A647A4"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NB-IoT/eMTC [RAN1, RAN2], including:</w:t>
                      </w:r>
                    </w:p>
                    <w:p w14:paraId="25B19C61"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647A4" w:rsidRPr="00E731A9" w:rsidRDefault="00A647A4"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647A4" w:rsidRPr="00E731A9" w:rsidRDefault="00A647A4"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647A4" w:rsidRPr="00E731A9" w:rsidRDefault="00A647A4"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NB-IoT/eMTC assumptions.</w:t>
                      </w:r>
                    </w:p>
                    <w:p w14:paraId="42481DA9" w14:textId="77777777" w:rsidR="00A647A4" w:rsidRPr="0041428E" w:rsidRDefault="00A647A4" w:rsidP="0041428E">
                      <w:pPr>
                        <w:jc w:val="both"/>
                        <w:rPr>
                          <w:rFonts w:ascii="Times New Roman" w:hAnsi="Times New Roman" w:cs="Times New Roman"/>
                          <w:lang w:eastAsia="ja-JP"/>
                        </w:rPr>
                      </w:pPr>
                    </w:p>
                  </w:txbxContent>
                </v:textbox>
                <w10:anchorlock/>
              </v:shape>
            </w:pict>
          </mc:Fallback>
        </mc:AlternateContent>
      </w:r>
    </w:p>
    <w:p w14:paraId="1A9B3F08" w14:textId="61D75062"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present our views on </w:t>
      </w:r>
      <w:r w:rsidR="0041428E" w:rsidRPr="00E731A9">
        <w:rPr>
          <w:rFonts w:cs="Arial"/>
          <w:sz w:val="22"/>
        </w:rPr>
        <w:t>scenarios</w:t>
      </w:r>
      <w:r w:rsidR="006131EF" w:rsidRPr="00E731A9">
        <w:rPr>
          <w:rFonts w:cs="Arial"/>
          <w:sz w:val="22"/>
        </w:rPr>
        <w:t xml:space="preserve"> </w:t>
      </w:r>
      <w:r w:rsidR="00AF0D36" w:rsidRPr="00E731A9">
        <w:rPr>
          <w:rFonts w:cs="Arial"/>
          <w:sz w:val="22"/>
        </w:rPr>
        <w:t>relevant for</w:t>
      </w:r>
      <w:r w:rsidR="006131EF" w:rsidRPr="00E731A9">
        <w:rPr>
          <w:rFonts w:cs="Arial"/>
          <w:sz w:val="22"/>
        </w:rPr>
        <w:t xml:space="preserve"> IoT NTN</w:t>
      </w:r>
      <w:r w:rsidR="0041428E" w:rsidRPr="00E731A9">
        <w:rPr>
          <w:rFonts w:cs="Arial"/>
          <w:sz w:val="22"/>
        </w:rPr>
        <w:t xml:space="preserve"> and discuss what evaluations are needed to verify</w:t>
      </w:r>
      <w:r w:rsidR="0041428E" w:rsidRPr="00E731A9">
        <w:rPr>
          <w:sz w:val="22"/>
        </w:rPr>
        <w:t xml:space="preserve"> the feasibility of NTN for eMTC</w:t>
      </w:r>
      <w:r w:rsidR="00877379" w:rsidRPr="00E731A9">
        <w:rPr>
          <w:sz w:val="22"/>
        </w:rPr>
        <w:t xml:space="preserve"> and NB-IoT</w:t>
      </w:r>
      <w:r w:rsidR="0041428E" w:rsidRPr="00E731A9">
        <w:rPr>
          <w:sz w:val="22"/>
        </w:rPr>
        <w:t>.</w:t>
      </w:r>
    </w:p>
    <w:p w14:paraId="60123794" w14:textId="072B9085" w:rsidR="004000E8" w:rsidRDefault="00230D18" w:rsidP="00CE0424">
      <w:pPr>
        <w:pStyle w:val="Heading1"/>
      </w:pPr>
      <w:bookmarkStart w:id="1" w:name="_Ref178064866"/>
      <w:r>
        <w:t>2</w:t>
      </w:r>
      <w:r>
        <w:tab/>
      </w:r>
      <w:bookmarkEnd w:id="1"/>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 xml:space="preserve">13 extended DRX (eDRX)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eMTC and NB</w:t>
      </w:r>
      <w:r w:rsidR="068B3A20" w:rsidRPr="00E731A9">
        <w:rPr>
          <w:rFonts w:cs="Arial"/>
          <w:sz w:val="22"/>
        </w:rPr>
        <w:t>-</w:t>
      </w:r>
      <w:r w:rsidRPr="00E731A9">
        <w:rPr>
          <w:rFonts w:cs="Arial"/>
          <w:sz w:val="22"/>
        </w:rPr>
        <w:t xml:space="preserve">IoT to support the massive machine type communications (mMTC) use case. The mMTC use case is characterized by requirements such as support of a massive number of UEs, low UE complexity to provide low UE cost, long UE battery life to limit the </w:t>
      </w:r>
      <w:r w:rsidRPr="00E731A9">
        <w:rPr>
          <w:rFonts w:cs="Arial"/>
          <w:sz w:val="22"/>
        </w:rPr>
        <w:lastRenderedPageBreak/>
        <w:t xml:space="preserve">need for battery charging and replacement, and coverage enhancements to provide ubiquitous coverage. </w:t>
      </w:r>
    </w:p>
    <w:p w14:paraId="5F986977" w14:textId="475AC641" w:rsidR="00F302CB" w:rsidRDefault="00230D18" w:rsidP="00F302CB">
      <w:pPr>
        <w:pStyle w:val="Heading2"/>
      </w:pPr>
      <w:r>
        <w:t>2.1</w:t>
      </w:r>
      <w:r>
        <w:tab/>
      </w:r>
      <w:r w:rsidR="0041428E">
        <w:t>eMTC</w:t>
      </w:r>
    </w:p>
    <w:p w14:paraId="1255B7A0" w14:textId="48E3A61F"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r w:rsidR="00877379" w:rsidRPr="00E731A9">
        <w:rPr>
          <w:rFonts w:cs="Arial"/>
          <w:sz w:val="22"/>
        </w:rPr>
        <w:t>eMTC</w:t>
      </w:r>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2C45CD">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r w:rsidRPr="00E731A9">
        <w:rPr>
          <w:rFonts w:cs="Arial"/>
          <w:sz w:val="22"/>
        </w:rPr>
        <w:t>eMTC</w:t>
      </w:r>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r w:rsidR="00877379" w:rsidRPr="00E731A9">
        <w:rPr>
          <w:rFonts w:cs="Arial"/>
          <w:sz w:val="22"/>
        </w:rPr>
        <w:t>e</w:t>
      </w:r>
      <w:r w:rsidR="00135806" w:rsidRPr="00E731A9">
        <w:rPr>
          <w:rFonts w:cs="Arial"/>
          <w:sz w:val="22"/>
        </w:rPr>
        <w:t>MTC</w:t>
      </w:r>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A1061F">
        <w:rPr>
          <w:sz w:val="22"/>
        </w:rPr>
        <w:t xml:space="preserve">since </w:t>
      </w:r>
      <w:r w:rsidR="002D208E">
        <w:rPr>
          <w:sz w:val="22"/>
        </w:rPr>
        <w:t>Rel-15 eMTC</w:t>
      </w:r>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r w:rsidR="00135806" w:rsidRPr="00E731A9">
        <w:rPr>
          <w:rFonts w:cs="Arial"/>
          <w:sz w:val="22"/>
        </w:rPr>
        <w:t>eMTC</w:t>
      </w:r>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r w:rsidR="00135806" w:rsidRPr="00E731A9">
        <w:rPr>
          <w:sz w:val="22"/>
        </w:rPr>
        <w:t>eMTC</w:t>
      </w:r>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308B44DE"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2C45CD">
        <w:rPr>
          <w:rFonts w:cs="Arial"/>
          <w:sz w:val="22"/>
        </w:rPr>
        <w:t>[5]</w:t>
      </w:r>
      <w:r w:rsidRPr="00E731A9">
        <w:rPr>
          <w:rFonts w:cs="Arial"/>
          <w:sz w:val="22"/>
        </w:rPr>
        <w:fldChar w:fldCharType="end"/>
      </w:r>
      <w:r w:rsidRPr="00E731A9">
        <w:rPr>
          <w:rFonts w:cs="Arial"/>
          <w:sz w:val="22"/>
        </w:rPr>
        <w:t>. Compared to eMTC</w:t>
      </w:r>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guardband of an LTE carrier or within an LTE carrier. </w:t>
      </w:r>
    </w:p>
    <w:p w14:paraId="4E847EB7" w14:textId="56516771" w:rsidR="00135806" w:rsidRPr="00E731A9" w:rsidRDefault="00AC78C1" w:rsidP="00135806">
      <w:pPr>
        <w:pStyle w:val="BodyText"/>
        <w:rPr>
          <w:sz w:val="22"/>
        </w:rPr>
      </w:pPr>
      <w:proofErr w:type="gramStart"/>
      <w:r>
        <w:rPr>
          <w:sz w:val="22"/>
        </w:rPr>
        <w:t>Similar to</w:t>
      </w:r>
      <w:proofErr w:type="gramEnd"/>
      <w:r w:rsidR="00135806" w:rsidRPr="00E731A9">
        <w:rPr>
          <w:sz w:val="22"/>
        </w:rPr>
        <w:t xml:space="preserve"> eMTC</w:t>
      </w:r>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w:t>
      </w:r>
      <w:proofErr w:type="gramStart"/>
      <w:r w:rsidR="00135806" w:rsidRPr="00E731A9">
        <w:rPr>
          <w:sz w:val="22"/>
        </w:rPr>
        <w:t>can be seen as</w:t>
      </w:r>
      <w:proofErr w:type="gramEnd"/>
      <w:r w:rsidR="00135806" w:rsidRPr="00E731A9">
        <w:rPr>
          <w:sz w:val="22"/>
        </w:rPr>
        <w:t xml:space="preserve">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lastRenderedPageBreak/>
        <w:t>To support power efficient UE operation, NB</w:t>
      </w:r>
      <w:r w:rsidR="344A40A8" w:rsidRPr="00E731A9">
        <w:rPr>
          <w:sz w:val="22"/>
        </w:rPr>
        <w:t>-</w:t>
      </w:r>
      <w:r w:rsidRPr="00E731A9">
        <w:rPr>
          <w:sz w:val="22"/>
        </w:rPr>
        <w:t>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78E612CF" w14:textId="2F951B6C" w:rsidR="00E411DE" w:rsidRPr="00CE0424" w:rsidRDefault="00D75870" w:rsidP="00E411DE">
      <w:pPr>
        <w:pStyle w:val="Heading1"/>
      </w:pPr>
      <w:r>
        <w:t>3</w:t>
      </w:r>
      <w:r w:rsidR="00E411DE">
        <w:tab/>
        <w:t>Scenarios</w:t>
      </w:r>
      <w:r w:rsidR="005F7FF0">
        <w:t xml:space="preserve"> </w:t>
      </w:r>
      <w:r w:rsidR="00E411DE">
        <w:t>for IoT NTN</w:t>
      </w:r>
    </w:p>
    <w:p w14:paraId="2D6C8C42" w14:textId="2D1890C8" w:rsidR="00E411DE" w:rsidRPr="00F302CB" w:rsidRDefault="00D75870" w:rsidP="00E411DE">
      <w:pPr>
        <w:pStyle w:val="Heading2"/>
      </w:pPr>
      <w:r>
        <w:t>3</w:t>
      </w:r>
      <w:r w:rsidR="00E411DE">
        <w:t>.1</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eMTC include connected vehicles, wearable devices, trackers and alarm panels. Most common use cases of NB-IoT include utility meters and sensors. eMTC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eMTC).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799A3932" w14:textId="06E1041A" w:rsidR="00D75870" w:rsidRPr="00E731A9" w:rsidRDefault="00D75870" w:rsidP="00CE0424">
      <w:pPr>
        <w:pStyle w:val="BodyText"/>
        <w:rPr>
          <w:sz w:val="22"/>
          <w:lang w:val="en-GB"/>
        </w:rPr>
      </w:pPr>
      <w:r w:rsidRPr="00E731A9">
        <w:rPr>
          <w:sz w:val="22"/>
          <w:lang w:val="en-GB"/>
        </w:rPr>
        <w:t xml:space="preserve">eMTC and NB-IoT are complementary technologies that can address different types of IoT use cases based on their unique capabilities. </w:t>
      </w:r>
      <w:r w:rsidR="00E1287F">
        <w:rPr>
          <w:sz w:val="22"/>
          <w:lang w:val="en-GB"/>
        </w:rPr>
        <w:t>N</w:t>
      </w:r>
      <w:r w:rsidR="00E1287F" w:rsidRPr="00E1287F">
        <w:rPr>
          <w:sz w:val="22"/>
          <w:lang w:val="en-GB"/>
        </w:rPr>
        <w:t xml:space="preserve">B-IoT supports ultra-low complexity devices with very narrow bandwidth, while </w:t>
      </w:r>
      <w:r w:rsidR="00E1287F">
        <w:rPr>
          <w:sz w:val="22"/>
          <w:lang w:val="en-GB"/>
        </w:rPr>
        <w:t>eMTC</w:t>
      </w:r>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06379E06" w14:textId="71CE0323" w:rsidR="00EF31EC" w:rsidRPr="00E731A9" w:rsidRDefault="00EF31EC" w:rsidP="00CE0424">
      <w:pPr>
        <w:pStyle w:val="BodyText"/>
        <w:rPr>
          <w:sz w:val="22"/>
          <w:lang w:val="en-GB"/>
        </w:rPr>
      </w:pPr>
      <w:r w:rsidRPr="00E731A9">
        <w:rPr>
          <w:sz w:val="22"/>
          <w:lang w:val="en-GB"/>
        </w:rPr>
        <w:t xml:space="preserve">The approved Rel-17 IoT NTN </w:t>
      </w:r>
      <w:r w:rsidR="00194B6F">
        <w:rPr>
          <w:sz w:val="22"/>
          <w:lang w:val="en-GB"/>
        </w:rPr>
        <w:t xml:space="preserve">SID </w:t>
      </w:r>
      <w:r w:rsidRPr="00E731A9">
        <w:rPr>
          <w:sz w:val="22"/>
          <w:lang w:val="en-GB"/>
        </w:rPr>
        <w:t xml:space="preserve">mentions LEO and GEO, but not other NTN systems such as HAPS/HIBS and A2G (which are mentioned in the Rel-17 NR NTN WI). With this observation, it is our understanding that </w:t>
      </w:r>
      <w:proofErr w:type="gramStart"/>
      <w:r w:rsidRPr="00E731A9">
        <w:rPr>
          <w:sz w:val="22"/>
          <w:lang w:val="en-GB"/>
        </w:rPr>
        <w:t>the  Rel</w:t>
      </w:r>
      <w:proofErr w:type="gramEnd"/>
      <w:r w:rsidRPr="00E731A9">
        <w:rPr>
          <w:sz w:val="22"/>
          <w:lang w:val="en-GB"/>
        </w:rPr>
        <w:t xml:space="preserve">-17 IoT NTN </w:t>
      </w:r>
      <w:r w:rsidR="00634A6C">
        <w:rPr>
          <w:sz w:val="22"/>
          <w:lang w:val="en-GB"/>
        </w:rPr>
        <w:t xml:space="preserve">SI </w:t>
      </w:r>
      <w:r w:rsidRPr="00E731A9">
        <w:rPr>
          <w:sz w:val="22"/>
          <w:lang w:val="en-GB"/>
        </w:rPr>
        <w:t xml:space="preserve"> </w:t>
      </w:r>
      <w:r w:rsidR="00634A6C">
        <w:rPr>
          <w:sz w:val="22"/>
          <w:lang w:val="en-GB"/>
        </w:rPr>
        <w:t xml:space="preserve">focuses on </w:t>
      </w:r>
      <w:r w:rsidRPr="00E731A9">
        <w:rPr>
          <w:sz w:val="22"/>
          <w:lang w:val="en-GB"/>
        </w:rPr>
        <w:t>LEO and GEO</w:t>
      </w:r>
      <w:r w:rsidR="006532EB">
        <w:rPr>
          <w:sz w:val="22"/>
          <w:lang w:val="en-GB"/>
        </w:rPr>
        <w:t xml:space="preserve"> systems</w:t>
      </w:r>
      <w:r w:rsidRPr="00E731A9">
        <w:rPr>
          <w:sz w:val="22"/>
          <w:lang w:val="en-GB"/>
        </w:rPr>
        <w:t>.</w:t>
      </w:r>
    </w:p>
    <w:p w14:paraId="28E08208" w14:textId="6707A56C" w:rsidR="00CB5BFE" w:rsidRPr="00E731A9" w:rsidRDefault="00CB5BFE" w:rsidP="00CE0424">
      <w:pPr>
        <w:pStyle w:val="BodyText"/>
        <w:rPr>
          <w:sz w:val="22"/>
          <w:lang w:val="en-GB"/>
        </w:rPr>
      </w:pPr>
      <w:r w:rsidRPr="00E731A9">
        <w:rPr>
          <w:sz w:val="22"/>
          <w:lang w:val="en-GB"/>
        </w:rPr>
        <w:t xml:space="preserve">Additionally, the Rel-17 IoT NTN </w:t>
      </w:r>
      <w:r w:rsidR="006532EB">
        <w:rPr>
          <w:sz w:val="22"/>
          <w:lang w:val="en-GB"/>
        </w:rPr>
        <w:t xml:space="preserve">SI </w:t>
      </w:r>
      <w:r w:rsidRPr="00E731A9">
        <w:rPr>
          <w:sz w:val="22"/>
          <w:lang w:val="en-GB"/>
        </w:rPr>
        <w:t>should focus on essential adaptations to minimize additional network and UE complexity and benefit from the economy of scale of the existing IoT ecosystem. This also means that the enhancements should be limited to adapting eMTC and NB-IoT to NTN, while generic enhancements motivated by non-NTN are outside the scope.</w:t>
      </w:r>
    </w:p>
    <w:p w14:paraId="6DBED234" w14:textId="47B475A3" w:rsidR="00D75870" w:rsidRPr="00E731A9" w:rsidRDefault="00E55576" w:rsidP="00CE0424">
      <w:pPr>
        <w:pStyle w:val="BodyText"/>
        <w:rPr>
          <w:sz w:val="22"/>
          <w:lang w:val="en-GB"/>
        </w:rPr>
      </w:pPr>
      <w:r w:rsidRPr="00E731A9">
        <w:rPr>
          <w:sz w:val="22"/>
          <w:lang w:val="en-GB"/>
        </w:rPr>
        <w:t>Lastly, the IoT NTN should support connectivity to EPC</w:t>
      </w:r>
      <w:r w:rsidR="003C67C5">
        <w:rPr>
          <w:sz w:val="22"/>
          <w:lang w:val="en-GB"/>
        </w:rPr>
        <w:t xml:space="preserve"> as the baseline</w:t>
      </w:r>
      <w:r w:rsidRPr="00E731A9">
        <w:rPr>
          <w:sz w:val="22"/>
          <w:lang w:val="en-GB"/>
        </w:rPr>
        <w:t>. This is a low hanging fruit and can reduce time-to-market.</w:t>
      </w:r>
      <w:r w:rsidR="00FB39A2">
        <w:rPr>
          <w:sz w:val="22"/>
          <w:lang w:val="en-GB"/>
        </w:rPr>
        <w:t xml:space="preserve"> This was agreed at RAN2#112e which assumes support for EPC, while support for 5GC is TBD.</w:t>
      </w:r>
    </w:p>
    <w:p w14:paraId="581EFDE5" w14:textId="075B370D" w:rsidR="00D75870" w:rsidRPr="00E1287F" w:rsidRDefault="00D75870" w:rsidP="00CE0424">
      <w:pPr>
        <w:pStyle w:val="Observation"/>
        <w:rPr>
          <w:sz w:val="22"/>
        </w:rPr>
      </w:pPr>
      <w:bookmarkStart w:id="2" w:name="_Toc61635021"/>
      <w:r w:rsidRPr="00E731A9">
        <w:rPr>
          <w:sz w:val="22"/>
          <w:lang w:val="en-GB"/>
        </w:rPr>
        <w:t>eMTC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2"/>
    </w:p>
    <w:p w14:paraId="1B40A249" w14:textId="4E7CFF56" w:rsidR="00E1287F" w:rsidRPr="00E731A9" w:rsidRDefault="00E1287F" w:rsidP="00CE0424">
      <w:pPr>
        <w:pStyle w:val="Observation"/>
        <w:rPr>
          <w:sz w:val="22"/>
        </w:rPr>
      </w:pPr>
      <w:bookmarkStart w:id="3" w:name="_Toc61635022"/>
      <w:r>
        <w:rPr>
          <w:sz w:val="22"/>
          <w:lang w:val="en-GB"/>
        </w:rPr>
        <w:t>N</w:t>
      </w:r>
      <w:r w:rsidRPr="00E1287F">
        <w:rPr>
          <w:sz w:val="22"/>
          <w:lang w:val="en-GB"/>
        </w:rPr>
        <w:t xml:space="preserve">B-IoT supports ultra-low complexity devices with very narrow bandwidth, while </w:t>
      </w:r>
      <w:r>
        <w:rPr>
          <w:sz w:val="22"/>
          <w:lang w:val="en-GB"/>
        </w:rPr>
        <w:t>eMTC</w:t>
      </w:r>
      <w:r w:rsidRPr="00E1287F">
        <w:rPr>
          <w:sz w:val="22"/>
          <w:lang w:val="en-GB"/>
        </w:rPr>
        <w:t xml:space="preserve"> can achieve higher data rates, more accurate device positioning, and supports voice calls and connected mode mobility.</w:t>
      </w:r>
      <w:bookmarkEnd w:id="3"/>
    </w:p>
    <w:p w14:paraId="137A8878" w14:textId="77777777" w:rsidR="00F26CBD" w:rsidRPr="00E731A9" w:rsidRDefault="00EF31EC" w:rsidP="00F26CBD">
      <w:pPr>
        <w:pStyle w:val="Observation"/>
        <w:rPr>
          <w:sz w:val="22"/>
        </w:rPr>
      </w:pPr>
      <w:bookmarkStart w:id="4" w:name="_Toc61635023"/>
      <w:r w:rsidRPr="00E731A9">
        <w:rPr>
          <w:sz w:val="22"/>
        </w:rPr>
        <w:t>The approved Rel-17 IoT NTN SID is dedicated to LEO and GEO satellite communication, while HAPS/HIBS and A2G are not in the scope.</w:t>
      </w:r>
      <w:bookmarkEnd w:id="4"/>
    </w:p>
    <w:p w14:paraId="7D63034F" w14:textId="5AFFF28D" w:rsidR="00D75870" w:rsidRPr="00FB39A2" w:rsidRDefault="00D75870" w:rsidP="00F26CBD">
      <w:pPr>
        <w:pStyle w:val="Observation"/>
        <w:rPr>
          <w:sz w:val="22"/>
        </w:rPr>
      </w:pPr>
      <w:bookmarkStart w:id="5" w:name="_Toc61635024"/>
      <w:r w:rsidRPr="00E731A9">
        <w:rPr>
          <w:sz w:val="22"/>
        </w:rPr>
        <w:t>Rel-17 I</w:t>
      </w:r>
      <w:r w:rsidR="00CB5BFE" w:rsidRPr="00E731A9">
        <w:rPr>
          <w:sz w:val="22"/>
        </w:rPr>
        <w:t>o</w:t>
      </w:r>
      <w:r w:rsidRPr="00E731A9">
        <w:rPr>
          <w:sz w:val="22"/>
        </w:rPr>
        <w:t xml:space="preserve">T NTN study should equally treat </w:t>
      </w:r>
      <w:r w:rsidRPr="00E731A9">
        <w:rPr>
          <w:sz w:val="22"/>
          <w:lang w:val="en-GB"/>
        </w:rPr>
        <w:t xml:space="preserve">eMTC and NB-IoT. </w:t>
      </w:r>
      <w:r w:rsidR="00927E3E" w:rsidRPr="00E731A9">
        <w:rPr>
          <w:sz w:val="22"/>
          <w:lang w:val="en-GB"/>
        </w:rPr>
        <w:t xml:space="preserve">The study item </w:t>
      </w:r>
      <w:r w:rsidR="00487019">
        <w:rPr>
          <w:sz w:val="22"/>
          <w:lang w:val="en-GB"/>
        </w:rPr>
        <w:t>will be incomplete</w:t>
      </w:r>
      <w:r w:rsidR="00927E3E" w:rsidRPr="00E731A9">
        <w:rPr>
          <w:sz w:val="22"/>
          <w:lang w:val="en-GB"/>
        </w:rPr>
        <w:t xml:space="preserve"> </w:t>
      </w:r>
      <w:r w:rsidR="006567FC">
        <w:rPr>
          <w:sz w:val="22"/>
          <w:lang w:val="en-GB"/>
        </w:rPr>
        <w:t>unless each</w:t>
      </w:r>
      <w:r w:rsidR="00540A42">
        <w:rPr>
          <w:sz w:val="22"/>
          <w:lang w:val="en-GB"/>
        </w:rPr>
        <w:t xml:space="preserve"> of them is</w:t>
      </w:r>
      <w:r w:rsidR="00927E3E" w:rsidRPr="00E731A9">
        <w:rPr>
          <w:sz w:val="22"/>
          <w:lang w:val="en-GB"/>
        </w:rPr>
        <w:t xml:space="preserve"> properly studied for its feasibility for NTN.</w:t>
      </w:r>
      <w:bookmarkEnd w:id="5"/>
    </w:p>
    <w:p w14:paraId="53C700A7" w14:textId="3ACA6ACD" w:rsidR="00FB39A2" w:rsidRPr="00E731A9" w:rsidRDefault="00FB39A2" w:rsidP="00F26CBD">
      <w:pPr>
        <w:pStyle w:val="Observation"/>
        <w:rPr>
          <w:sz w:val="22"/>
        </w:rPr>
      </w:pPr>
      <w:bookmarkStart w:id="6" w:name="_Toc61635025"/>
      <w:r>
        <w:rPr>
          <w:sz w:val="22"/>
        </w:rPr>
        <w:t xml:space="preserve">It was agreed at </w:t>
      </w:r>
      <w:r>
        <w:rPr>
          <w:sz w:val="22"/>
          <w:lang w:val="en-GB"/>
        </w:rPr>
        <w:t>RAN2#112e that support for EPC is assumed for IoT NTN.</w:t>
      </w:r>
      <w:bookmarkEnd w:id="6"/>
    </w:p>
    <w:p w14:paraId="1D575219" w14:textId="75B4F077" w:rsidR="00CB5BFE" w:rsidRPr="00E731A9" w:rsidRDefault="00CB5BFE" w:rsidP="00D75870">
      <w:pPr>
        <w:pStyle w:val="Proposal"/>
        <w:rPr>
          <w:sz w:val="22"/>
        </w:rPr>
      </w:pPr>
      <w:bookmarkStart w:id="7" w:name="_Toc61635029"/>
      <w:r w:rsidRPr="00E731A9">
        <w:rPr>
          <w:sz w:val="22"/>
        </w:rPr>
        <w:t xml:space="preserve">IoT NTN </w:t>
      </w:r>
      <w:r w:rsidR="00F26CBD" w:rsidRPr="00E731A9">
        <w:rPr>
          <w:sz w:val="22"/>
        </w:rPr>
        <w:t xml:space="preserve">study </w:t>
      </w:r>
      <w:r w:rsidRPr="00E731A9">
        <w:rPr>
          <w:sz w:val="22"/>
        </w:rPr>
        <w:t>should focus on essential adaptation</w:t>
      </w:r>
      <w:r w:rsidR="00E55576" w:rsidRPr="00E731A9">
        <w:rPr>
          <w:sz w:val="22"/>
        </w:rPr>
        <w:t xml:space="preserve">s for NTN, while </w:t>
      </w:r>
      <w:r w:rsidRPr="00E731A9">
        <w:rPr>
          <w:sz w:val="22"/>
        </w:rPr>
        <w:t>generic enhancements motivated by non-NTN are outside the scope.</w:t>
      </w:r>
      <w:bookmarkEnd w:id="7"/>
    </w:p>
    <w:p w14:paraId="0BB9E88B" w14:textId="69784129" w:rsidR="00927E3E" w:rsidRDefault="00927E3E" w:rsidP="00927E3E">
      <w:pPr>
        <w:pStyle w:val="Heading2"/>
      </w:pPr>
      <w:r>
        <w:lastRenderedPageBreak/>
        <w:t>3.2</w:t>
      </w:r>
      <w:r>
        <w:tab/>
      </w:r>
      <w:r w:rsidRPr="00927E3E">
        <w:t>Bands of interest in sub 6 GHz</w:t>
      </w:r>
    </w:p>
    <w:p w14:paraId="0BBB8FFE" w14:textId="16D01936" w:rsidR="00927E3E" w:rsidRPr="00E731A9" w:rsidRDefault="00927E3E" w:rsidP="00CE0424">
      <w:pPr>
        <w:pStyle w:val="BodyText"/>
        <w:rPr>
          <w:sz w:val="22"/>
          <w:lang w:val="en-GB"/>
        </w:rPr>
      </w:pPr>
      <w:r w:rsidRPr="00E731A9">
        <w:rPr>
          <w:sz w:val="22"/>
          <w:lang w:val="en-GB"/>
        </w:rPr>
        <w:t xml:space="preserve">The </w:t>
      </w:r>
      <w:r w:rsidR="00532EDD">
        <w:rPr>
          <w:sz w:val="22"/>
          <w:lang w:val="en-GB"/>
        </w:rPr>
        <w:t>SID</w:t>
      </w:r>
      <w:r w:rsidRPr="00E731A9">
        <w:rPr>
          <w:sz w:val="22"/>
          <w:lang w:val="en-GB"/>
        </w:rPr>
        <w:t xml:space="preserve"> clearly indicates that the bands of interest for IoT NTN are in sub 6 GHz, which is a sensible target because both eMTC and NB-IoT have only been designed </w:t>
      </w:r>
      <w:r w:rsidR="00E3046E">
        <w:rPr>
          <w:sz w:val="22"/>
          <w:lang w:val="en-GB"/>
        </w:rPr>
        <w:t>for</w:t>
      </w:r>
      <w:r w:rsidRPr="00E731A9">
        <w:rPr>
          <w:sz w:val="22"/>
          <w:lang w:val="en-GB"/>
        </w:rPr>
        <w:t xml:space="preserve"> sub 6 GHz. For bands above 6 GHz, significant changes </w:t>
      </w:r>
      <w:r w:rsidR="00633AAC">
        <w:rPr>
          <w:sz w:val="22"/>
          <w:lang w:val="en-GB"/>
        </w:rPr>
        <w:t xml:space="preserve">are </w:t>
      </w:r>
      <w:r w:rsidRPr="00E731A9">
        <w:rPr>
          <w:sz w:val="22"/>
          <w:lang w:val="en-GB"/>
        </w:rPr>
        <w:t>required for adapting eMTC and NB-IoT for NTN, which is n</w:t>
      </w:r>
      <w:r w:rsidR="00B97586">
        <w:rPr>
          <w:sz w:val="22"/>
          <w:lang w:val="en-GB"/>
        </w:rPr>
        <w:t>either</w:t>
      </w:r>
      <w:r w:rsidRPr="00E731A9">
        <w:rPr>
          <w:sz w:val="22"/>
          <w:lang w:val="en-GB"/>
        </w:rPr>
        <w:t xml:space="preserve"> a desirable evolution direction </w:t>
      </w:r>
      <w:r w:rsidR="00B97586">
        <w:rPr>
          <w:sz w:val="22"/>
          <w:lang w:val="en-GB"/>
        </w:rPr>
        <w:t>nor</w:t>
      </w:r>
      <w:r w:rsidRPr="00E731A9">
        <w:rPr>
          <w:sz w:val="22"/>
          <w:lang w:val="en-GB"/>
        </w:rPr>
        <w:t xml:space="preserve"> in the scope of </w:t>
      </w:r>
      <w:r w:rsidR="00CA45D6">
        <w:rPr>
          <w:sz w:val="22"/>
          <w:lang w:val="en-GB"/>
        </w:rPr>
        <w:t>I</w:t>
      </w:r>
      <w:r w:rsidR="002C45CD">
        <w:rPr>
          <w:sz w:val="22"/>
          <w:lang w:val="en-GB"/>
        </w:rPr>
        <w:t>o</w:t>
      </w:r>
      <w:r w:rsidR="00CA45D6">
        <w:rPr>
          <w:sz w:val="22"/>
          <w:lang w:val="en-GB"/>
        </w:rPr>
        <w:t>T NTN SI</w:t>
      </w:r>
      <w:r w:rsidRPr="00E731A9">
        <w:rPr>
          <w:sz w:val="22"/>
          <w:lang w:val="en-GB"/>
        </w:rPr>
        <w:t>.</w:t>
      </w:r>
    </w:p>
    <w:p w14:paraId="59A9C747" w14:textId="7CAC5255" w:rsidR="00927E3E" w:rsidRPr="00E731A9" w:rsidRDefault="00927E3E" w:rsidP="00CE0424">
      <w:pPr>
        <w:pStyle w:val="BodyText"/>
        <w:rPr>
          <w:sz w:val="22"/>
          <w:lang w:val="en-GB"/>
        </w:rPr>
      </w:pPr>
      <w:r w:rsidRPr="00E731A9">
        <w:rPr>
          <w:sz w:val="22"/>
          <w:lang w:val="en-GB"/>
        </w:rPr>
        <w:t xml:space="preserve">Regarding which specific bands in sub 6 GHz are of interest, this will be a topic for RAN4 to discuss </w:t>
      </w:r>
      <w:r w:rsidR="00196D80">
        <w:rPr>
          <w:sz w:val="22"/>
          <w:lang w:val="en-GB"/>
        </w:rPr>
        <w:t>in</w:t>
      </w:r>
      <w:r w:rsidR="00196D80" w:rsidRPr="00E731A9">
        <w:rPr>
          <w:sz w:val="22"/>
          <w:lang w:val="en-GB"/>
        </w:rPr>
        <w:t xml:space="preserve"> </w:t>
      </w:r>
      <w:r w:rsidRPr="00E731A9">
        <w:rPr>
          <w:sz w:val="22"/>
          <w:lang w:val="en-GB"/>
        </w:rPr>
        <w:t xml:space="preserve">a potential normative phase. For the purpose of this </w:t>
      </w:r>
      <w:r w:rsidR="00CA45D6">
        <w:rPr>
          <w:sz w:val="22"/>
          <w:lang w:val="en-GB"/>
        </w:rPr>
        <w:t>SI</w:t>
      </w:r>
      <w:r w:rsidRPr="00E731A9">
        <w:rPr>
          <w:sz w:val="22"/>
          <w:lang w:val="en-GB"/>
        </w:rPr>
        <w:t xml:space="preserve">, it is </w:t>
      </w:r>
      <w:proofErr w:type="gramStart"/>
      <w:r w:rsidRPr="00E731A9">
        <w:rPr>
          <w:sz w:val="22"/>
          <w:lang w:val="en-GB"/>
        </w:rPr>
        <w:t>sufficient</w:t>
      </w:r>
      <w:proofErr w:type="gramEnd"/>
      <w:r w:rsidRPr="00E731A9">
        <w:rPr>
          <w:sz w:val="22"/>
          <w:lang w:val="en-GB"/>
        </w:rPr>
        <w:t xml:space="preserve"> to consider </w:t>
      </w:r>
      <w:r w:rsidR="00C77664">
        <w:rPr>
          <w:sz w:val="22"/>
          <w:lang w:val="en-GB"/>
        </w:rPr>
        <w:t xml:space="preserve">the </w:t>
      </w:r>
      <w:r w:rsidRPr="00E731A9">
        <w:rPr>
          <w:sz w:val="22"/>
          <w:lang w:val="en-GB"/>
        </w:rPr>
        <w:t>nominal S band</w:t>
      </w:r>
      <w:r w:rsidR="00CB5BFE" w:rsidRPr="00E731A9">
        <w:rPr>
          <w:sz w:val="22"/>
          <w:lang w:val="en-GB"/>
        </w:rPr>
        <w:t xml:space="preserve"> for various evaluation purposes, as was done during the Rel-16 NR NTN </w:t>
      </w:r>
      <w:r w:rsidR="00CA45D6">
        <w:rPr>
          <w:sz w:val="22"/>
          <w:lang w:val="en-GB"/>
        </w:rPr>
        <w:t>SI</w:t>
      </w:r>
      <w:r w:rsidR="00CB5BFE" w:rsidRPr="00E731A9">
        <w:rPr>
          <w:sz w:val="22"/>
          <w:lang w:val="en-GB"/>
        </w:rPr>
        <w:t>.</w:t>
      </w:r>
    </w:p>
    <w:p w14:paraId="4876006A" w14:textId="79DF8894" w:rsidR="00CB5BFE" w:rsidRPr="00E731A9" w:rsidRDefault="00CB5BFE" w:rsidP="00CE0424">
      <w:pPr>
        <w:pStyle w:val="BodyText"/>
        <w:rPr>
          <w:sz w:val="22"/>
          <w:lang w:val="en-GB"/>
        </w:rPr>
      </w:pPr>
      <w:r w:rsidRPr="00E731A9">
        <w:rPr>
          <w:sz w:val="22"/>
          <w:lang w:val="en-GB"/>
        </w:rPr>
        <w:t xml:space="preserve">Additionally, the focus can be limited to FDD, as TDD is inefficient in NTN. This is consistent with the recommendation in the Rel-17 NR NTN </w:t>
      </w:r>
      <w:r w:rsidR="00CA45D6">
        <w:rPr>
          <w:sz w:val="22"/>
          <w:lang w:val="en-GB"/>
        </w:rPr>
        <w:t>WI</w:t>
      </w:r>
      <w:r w:rsidRPr="00E731A9">
        <w:rPr>
          <w:sz w:val="22"/>
          <w:lang w:val="en-GB"/>
        </w:rPr>
        <w:t>.</w:t>
      </w:r>
    </w:p>
    <w:p w14:paraId="1868F41B" w14:textId="0F877FCB" w:rsidR="00CB5BFE" w:rsidRPr="00E731A9" w:rsidRDefault="00CB5BFE" w:rsidP="005F7FF0">
      <w:pPr>
        <w:pStyle w:val="Observation"/>
        <w:rPr>
          <w:sz w:val="22"/>
        </w:rPr>
      </w:pPr>
      <w:bookmarkStart w:id="8" w:name="_Toc61635026"/>
      <w:r w:rsidRPr="00E731A9">
        <w:rPr>
          <w:sz w:val="22"/>
        </w:rPr>
        <w:t xml:space="preserve">Identifying specific bands of interest in sub 6 GHz can be a topic for RAN4 to discuss when a potential normative phase </w:t>
      </w:r>
      <w:r w:rsidR="00B83D45">
        <w:rPr>
          <w:sz w:val="22"/>
        </w:rPr>
        <w:t>begin</w:t>
      </w:r>
      <w:r w:rsidR="00B83D45" w:rsidRPr="00E731A9">
        <w:rPr>
          <w:sz w:val="22"/>
        </w:rPr>
        <w:t>s</w:t>
      </w:r>
      <w:r w:rsidRPr="00E731A9">
        <w:rPr>
          <w:sz w:val="22"/>
        </w:rPr>
        <w:t>.</w:t>
      </w:r>
      <w:bookmarkEnd w:id="8"/>
    </w:p>
    <w:p w14:paraId="0DB03868" w14:textId="1A34348A" w:rsidR="00CB5BFE" w:rsidRPr="00E731A9" w:rsidRDefault="00CB5BFE" w:rsidP="00CB5BFE">
      <w:pPr>
        <w:pStyle w:val="Proposal"/>
        <w:rPr>
          <w:sz w:val="22"/>
        </w:rPr>
      </w:pPr>
      <w:bookmarkStart w:id="9" w:name="_Toc61635030"/>
      <w:r w:rsidRPr="00E731A9">
        <w:rPr>
          <w:sz w:val="22"/>
        </w:rPr>
        <w:t>In Rel-17 IOT NTN SI, consider nominal S band (2 GHz) for evaluation purposes.</w:t>
      </w:r>
      <w:bookmarkEnd w:id="9"/>
    </w:p>
    <w:p w14:paraId="6C807ACB" w14:textId="5B34B4E7" w:rsidR="00CB5BFE" w:rsidRPr="00256A82" w:rsidRDefault="00CB5BFE" w:rsidP="00CE0424">
      <w:pPr>
        <w:pStyle w:val="Proposal"/>
        <w:rPr>
          <w:sz w:val="22"/>
        </w:rPr>
      </w:pPr>
      <w:bookmarkStart w:id="10" w:name="_Toc61635031"/>
      <w:r w:rsidRPr="00E731A9">
        <w:rPr>
          <w:sz w:val="22"/>
        </w:rPr>
        <w:t>In Rel-17 IOT NTN SI, limit the focus to FDD only.</w:t>
      </w:r>
      <w:bookmarkEnd w:id="10"/>
    </w:p>
    <w:p w14:paraId="31E29F0A" w14:textId="2823F648" w:rsidR="00CB5BFE" w:rsidRDefault="00CB5BFE" w:rsidP="00CB5BFE">
      <w:pPr>
        <w:pStyle w:val="Heading2"/>
      </w:pPr>
      <w:r>
        <w:t>3.</w:t>
      </w:r>
      <w:r w:rsidR="005F7FF0">
        <w:t>3</w:t>
      </w:r>
      <w:r>
        <w:tab/>
      </w:r>
      <w:r w:rsidR="00B205C2">
        <w:t>Architecture</w:t>
      </w:r>
      <w:r w:rsidR="00AE61E9">
        <w:t xml:space="preserve"> </w:t>
      </w:r>
    </w:p>
    <w:p w14:paraId="0412DFE0" w14:textId="5C4BD1AA" w:rsidR="00B205C2" w:rsidRPr="00E731A9" w:rsidRDefault="00B205C2" w:rsidP="00CE0424">
      <w:pPr>
        <w:pStyle w:val="BodyText"/>
        <w:rPr>
          <w:sz w:val="22"/>
          <w:lang w:val="en-GB"/>
        </w:rPr>
      </w:pPr>
      <w:r w:rsidRPr="00E731A9">
        <w:rPr>
          <w:sz w:val="22"/>
          <w:lang w:val="en-GB"/>
        </w:rPr>
        <w:t xml:space="preserve">The </w:t>
      </w:r>
      <w:r w:rsidR="00CA45D6">
        <w:rPr>
          <w:sz w:val="22"/>
          <w:lang w:val="en-GB"/>
        </w:rPr>
        <w:t>SID</w:t>
      </w:r>
      <w:r w:rsidRPr="00E731A9">
        <w:rPr>
          <w:sz w:val="22"/>
          <w:lang w:val="en-GB"/>
        </w:rPr>
        <w:t xml:space="preserve"> clearly indicates that the focus is</w:t>
      </w:r>
      <w:r w:rsidR="00CA45D6">
        <w:rPr>
          <w:sz w:val="22"/>
          <w:lang w:val="en-GB"/>
        </w:rPr>
        <w:t xml:space="preserve"> on</w:t>
      </w:r>
      <w:r w:rsidRPr="00E731A9">
        <w:rPr>
          <w:sz w:val="22"/>
          <w:lang w:val="en-GB"/>
        </w:rPr>
        <w:t xml:space="preserve"> transparent payload, i.e., bent-pipe architecture</w:t>
      </w:r>
      <w:r w:rsidR="008F23FF" w:rsidRPr="00E731A9">
        <w:rPr>
          <w:sz w:val="22"/>
          <w:lang w:val="en-GB"/>
        </w:rPr>
        <w:t>, which is sensible and can help time-to-market.</w:t>
      </w:r>
    </w:p>
    <w:p w14:paraId="0CE2D15E" w14:textId="76C8B1C0" w:rsidR="008F23FF" w:rsidRPr="00E731A9" w:rsidRDefault="008F23FF" w:rsidP="008F23FF">
      <w:pPr>
        <w:pStyle w:val="BodyText"/>
        <w:rPr>
          <w:sz w:val="22"/>
          <w:lang w:val="en-GB"/>
        </w:rPr>
      </w:pPr>
      <w:r w:rsidRPr="00E731A9">
        <w:rPr>
          <w:sz w:val="22"/>
          <w:lang w:val="en-GB"/>
        </w:rPr>
        <w:t>In addition, we would like to suggest focusing on earth fixed beam</w:t>
      </w:r>
      <w:r w:rsidR="00064B14">
        <w:rPr>
          <w:sz w:val="22"/>
          <w:lang w:val="en-GB"/>
        </w:rPr>
        <w:t>s</w:t>
      </w:r>
      <w:r w:rsidRPr="00E731A9">
        <w:rPr>
          <w:sz w:val="22"/>
          <w:lang w:val="en-GB"/>
        </w:rPr>
        <w:t xml:space="preserve"> for IoT NTN to limit </w:t>
      </w:r>
      <w:r w:rsidR="00937272">
        <w:rPr>
          <w:sz w:val="22"/>
          <w:lang w:val="en-GB"/>
        </w:rPr>
        <w:t xml:space="preserve">the </w:t>
      </w:r>
      <w:r w:rsidRPr="00E731A9">
        <w:rPr>
          <w:sz w:val="22"/>
          <w:lang w:val="en-GB"/>
        </w:rPr>
        <w:t>impact on specifications and implementation. As it has become evident from the discussions in both the Rel-16 NR NTN SI and the ongoing Rel-17 NR NTN WI, supporting earth moving beam</w:t>
      </w:r>
      <w:r w:rsidR="00182EEB">
        <w:rPr>
          <w:sz w:val="22"/>
          <w:lang w:val="en-GB"/>
        </w:rPr>
        <w:t>s</w:t>
      </w:r>
      <w:r w:rsidRPr="00E731A9">
        <w:rPr>
          <w:sz w:val="22"/>
          <w:lang w:val="en-GB"/>
        </w:rPr>
        <w:t xml:space="preserve"> is complicated and involves many challenges that are difficult for NR already, let alone the supposedly much simpler eMTC and NB-IoT devices.</w:t>
      </w:r>
    </w:p>
    <w:p w14:paraId="59DBBDD2" w14:textId="5BE8753A" w:rsidR="008F23FF" w:rsidRPr="00E731A9" w:rsidRDefault="008F23FF" w:rsidP="008F23FF">
      <w:pPr>
        <w:pStyle w:val="Observation"/>
        <w:rPr>
          <w:sz w:val="22"/>
        </w:rPr>
      </w:pPr>
      <w:bookmarkStart w:id="11" w:name="_Toc61635027"/>
      <w:r w:rsidRPr="00E731A9">
        <w:rPr>
          <w:sz w:val="22"/>
        </w:rPr>
        <w:t>The approved Rel-17 IoT NTN SID is dedicated to transparent payload.</w:t>
      </w:r>
      <w:bookmarkEnd w:id="11"/>
    </w:p>
    <w:p w14:paraId="2E66B0F5" w14:textId="6A166F1A" w:rsidR="005F7FF0" w:rsidRPr="00256A82" w:rsidRDefault="008F23FF" w:rsidP="005F7FF0">
      <w:pPr>
        <w:pStyle w:val="Proposal"/>
        <w:rPr>
          <w:sz w:val="22"/>
        </w:rPr>
      </w:pPr>
      <w:bookmarkStart w:id="12" w:name="_Toc61635032"/>
      <w:r w:rsidRPr="00E731A9">
        <w:rPr>
          <w:sz w:val="22"/>
        </w:rPr>
        <w:t xml:space="preserve">In Rel-17 IOT NTN SI, </w:t>
      </w:r>
      <w:r w:rsidR="00FB39A2">
        <w:rPr>
          <w:sz w:val="22"/>
        </w:rPr>
        <w:t>prioritize</w:t>
      </w:r>
      <w:r w:rsidRPr="00E731A9">
        <w:rPr>
          <w:sz w:val="22"/>
        </w:rPr>
        <w:t xml:space="preserve"> earth fixed beam</w:t>
      </w:r>
      <w:r w:rsidR="004C4E4B">
        <w:rPr>
          <w:sz w:val="22"/>
        </w:rPr>
        <w:t>s</w:t>
      </w:r>
      <w:r w:rsidRPr="00E731A9">
        <w:rPr>
          <w:sz w:val="22"/>
        </w:rPr>
        <w:t>.</w:t>
      </w:r>
      <w:bookmarkEnd w:id="12"/>
    </w:p>
    <w:p w14:paraId="1F0BBC4F" w14:textId="087E13EF" w:rsidR="008F23FF" w:rsidRDefault="008F23FF" w:rsidP="008F23FF">
      <w:pPr>
        <w:pStyle w:val="Heading1"/>
      </w:pPr>
      <w:r>
        <w:t>4</w:t>
      </w:r>
      <w:r>
        <w:tab/>
        <w:t>Evaluations for IoT NTN</w:t>
      </w:r>
    </w:p>
    <w:p w14:paraId="334D0FDF" w14:textId="581C920E" w:rsidR="005F7FF0" w:rsidRPr="00E26196" w:rsidRDefault="008F23FF" w:rsidP="00CE0424">
      <w:pPr>
        <w:pStyle w:val="BodyText"/>
        <w:rPr>
          <w:sz w:val="22"/>
        </w:rPr>
      </w:pPr>
      <w:r w:rsidRPr="00E26196">
        <w:rPr>
          <w:sz w:val="22"/>
        </w:rPr>
        <w:t xml:space="preserve">eMTC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wearables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59984E2C" w14:textId="316DAB16" w:rsidR="00882074" w:rsidRPr="00E26196" w:rsidRDefault="00882074" w:rsidP="00CE0424">
      <w:pPr>
        <w:pStyle w:val="BodyText"/>
        <w:rPr>
          <w:sz w:val="22"/>
        </w:rPr>
      </w:pPr>
      <w:r w:rsidRPr="00E26196">
        <w:rPr>
          <w:sz w:val="22"/>
        </w:rPr>
        <w:t>Note that eMTC and NB-IoT were carefully studied at the initial design stage to ensure they could meet the various design targets, see 3GPP</w:t>
      </w:r>
      <w:r w:rsidR="000175BA" w:rsidRPr="00E26196">
        <w:rPr>
          <w:sz w:val="22"/>
        </w:rPr>
        <w:t xml:space="preserve"> TR 36.888 </w:t>
      </w:r>
      <w:r w:rsidR="000175BA" w:rsidRPr="00E26196">
        <w:rPr>
          <w:sz w:val="22"/>
        </w:rPr>
        <w:fldChar w:fldCharType="begin"/>
      </w:r>
      <w:r w:rsidR="000175BA" w:rsidRPr="00E26196">
        <w:rPr>
          <w:sz w:val="22"/>
        </w:rPr>
        <w:instrText xml:space="preserve"> REF _Ref51251630 \r \h </w:instrText>
      </w:r>
      <w:r w:rsidR="00E26196">
        <w:rPr>
          <w:sz w:val="22"/>
        </w:rPr>
        <w:instrText xml:space="preserve"> \* MERGEFORMAT </w:instrText>
      </w:r>
      <w:r w:rsidR="000175BA" w:rsidRPr="00E26196">
        <w:rPr>
          <w:sz w:val="22"/>
        </w:rPr>
      </w:r>
      <w:r w:rsidR="000175BA" w:rsidRPr="00E26196">
        <w:rPr>
          <w:sz w:val="22"/>
        </w:rPr>
        <w:fldChar w:fldCharType="separate"/>
      </w:r>
      <w:r w:rsidR="002C45CD">
        <w:rPr>
          <w:sz w:val="22"/>
        </w:rPr>
        <w:t>[6]</w:t>
      </w:r>
      <w:r w:rsidR="000175BA" w:rsidRPr="00E26196">
        <w:rPr>
          <w:sz w:val="22"/>
        </w:rPr>
        <w:fldChar w:fldCharType="end"/>
      </w:r>
      <w:r w:rsidRPr="00E26196">
        <w:rPr>
          <w:sz w:val="22"/>
        </w:rPr>
        <w:t xml:space="preserve"> TR 45.820</w:t>
      </w:r>
      <w:r w:rsidR="000175BA" w:rsidRPr="00E26196">
        <w:rPr>
          <w:sz w:val="22"/>
        </w:rPr>
        <w:t xml:space="preserve"> </w:t>
      </w:r>
      <w:r w:rsidR="000175BA" w:rsidRPr="00E26196">
        <w:rPr>
          <w:sz w:val="22"/>
        </w:rPr>
        <w:fldChar w:fldCharType="begin"/>
      </w:r>
      <w:r w:rsidR="000175BA" w:rsidRPr="00E26196">
        <w:rPr>
          <w:sz w:val="22"/>
        </w:rPr>
        <w:instrText xml:space="preserve"> REF _Ref51251643 \r \h </w:instrText>
      </w:r>
      <w:r w:rsidR="00E26196">
        <w:rPr>
          <w:sz w:val="22"/>
        </w:rPr>
        <w:instrText xml:space="preserve"> \* MERGEFORMAT </w:instrText>
      </w:r>
      <w:r w:rsidR="000175BA" w:rsidRPr="00E26196">
        <w:rPr>
          <w:sz w:val="22"/>
        </w:rPr>
      </w:r>
      <w:r w:rsidR="000175BA" w:rsidRPr="00E26196">
        <w:rPr>
          <w:sz w:val="22"/>
        </w:rPr>
        <w:fldChar w:fldCharType="separate"/>
      </w:r>
      <w:r w:rsidR="002C45CD">
        <w:rPr>
          <w:sz w:val="22"/>
        </w:rPr>
        <w:t>[7]</w:t>
      </w:r>
      <w:r w:rsidR="000175BA" w:rsidRPr="00E26196">
        <w:rPr>
          <w:sz w:val="22"/>
        </w:rPr>
        <w:fldChar w:fldCharType="end"/>
      </w:r>
      <w:r w:rsidRPr="00E26196">
        <w:rPr>
          <w:sz w:val="22"/>
        </w:rPr>
        <w:t>.</w:t>
      </w:r>
      <w:r w:rsidR="000175BA" w:rsidRPr="00E26196">
        <w:rPr>
          <w:sz w:val="22"/>
        </w:rPr>
        <w:t xml:space="preserve"> Important design targets include:</w:t>
      </w:r>
    </w:p>
    <w:p w14:paraId="6720765E" w14:textId="5B01B8B9" w:rsidR="000175BA" w:rsidRPr="00E26196" w:rsidRDefault="000175BA" w:rsidP="000175BA">
      <w:pPr>
        <w:pStyle w:val="BodyText"/>
        <w:numPr>
          <w:ilvl w:val="0"/>
          <w:numId w:val="27"/>
        </w:numPr>
        <w:rPr>
          <w:sz w:val="22"/>
        </w:rPr>
      </w:pPr>
      <w:r w:rsidRPr="00E26196">
        <w:rPr>
          <w:sz w:val="22"/>
        </w:rPr>
        <w:t>Improved coverage to support 164 dB MCL.</w:t>
      </w:r>
    </w:p>
    <w:p w14:paraId="49A722A0" w14:textId="00ADA7F5" w:rsidR="000175BA" w:rsidRPr="00E26196" w:rsidRDefault="000175BA" w:rsidP="000175BA">
      <w:pPr>
        <w:pStyle w:val="BodyText"/>
        <w:numPr>
          <w:ilvl w:val="0"/>
          <w:numId w:val="27"/>
        </w:numPr>
        <w:rPr>
          <w:sz w:val="22"/>
        </w:rPr>
      </w:pPr>
      <w:r w:rsidRPr="00E26196">
        <w:rPr>
          <w:sz w:val="22"/>
        </w:rPr>
        <w:t xml:space="preserve">Support of </w:t>
      </w:r>
      <w:r w:rsidR="00745CD4">
        <w:rPr>
          <w:sz w:val="22"/>
        </w:rPr>
        <w:t xml:space="preserve">a </w:t>
      </w:r>
      <w:r w:rsidRPr="00E26196">
        <w:rPr>
          <w:sz w:val="22"/>
        </w:rPr>
        <w:t>massive number of low throughput devices</w:t>
      </w:r>
    </w:p>
    <w:p w14:paraId="6E555744" w14:textId="48C7F6A1" w:rsidR="000175BA" w:rsidRPr="00E26196" w:rsidRDefault="00B277FE" w:rsidP="000175BA">
      <w:pPr>
        <w:pStyle w:val="BodyText"/>
        <w:numPr>
          <w:ilvl w:val="1"/>
          <w:numId w:val="27"/>
        </w:numPr>
        <w:rPr>
          <w:sz w:val="22"/>
        </w:rPr>
      </w:pPr>
      <w:r w:rsidRPr="00E26196">
        <w:rPr>
          <w:sz w:val="22"/>
        </w:rPr>
        <w:t xml:space="preserve">A system that can support </w:t>
      </w:r>
      <w:proofErr w:type="gramStart"/>
      <w:r w:rsidRPr="00E26196">
        <w:rPr>
          <w:sz w:val="22"/>
        </w:rPr>
        <w:t>a large number of</w:t>
      </w:r>
      <w:proofErr w:type="gramEnd"/>
      <w:r w:rsidRPr="00E26196">
        <w:rPr>
          <w:sz w:val="22"/>
        </w:rPr>
        <w:t xml:space="preserve"> devices, each generating a small amount of data is required. </w:t>
      </w:r>
      <w:r w:rsidR="000175BA" w:rsidRPr="00E26196">
        <w:rPr>
          <w:sz w:val="22"/>
        </w:rPr>
        <w:t xml:space="preserve">The original traffic model was based on TR 36.888. In Rel-15, both </w:t>
      </w:r>
      <w:r w:rsidR="000175BA" w:rsidRPr="00E26196">
        <w:rPr>
          <w:sz w:val="22"/>
        </w:rPr>
        <w:lastRenderedPageBreak/>
        <w:t>eMTC and NB-IoT were further evaluated and shown to fulfil 5G device density requirement of 1,000,000 devices per square km.</w:t>
      </w:r>
    </w:p>
    <w:p w14:paraId="63AF3A10" w14:textId="650AFF1B" w:rsidR="00B277FE" w:rsidRPr="00E26196" w:rsidRDefault="00B277FE" w:rsidP="00B277FE">
      <w:pPr>
        <w:pStyle w:val="BodyText"/>
        <w:numPr>
          <w:ilvl w:val="0"/>
          <w:numId w:val="27"/>
        </w:numPr>
        <w:rPr>
          <w:sz w:val="22"/>
        </w:rPr>
      </w:pPr>
      <w:r w:rsidRPr="00E26196">
        <w:rPr>
          <w:sz w:val="22"/>
        </w:rPr>
        <w:t>Reduced complexity and cost:</w:t>
      </w:r>
    </w:p>
    <w:p w14:paraId="418AD2A2" w14:textId="747CF409" w:rsidR="00B277FE" w:rsidRPr="00E26196" w:rsidRDefault="00B277FE" w:rsidP="00B277FE">
      <w:pPr>
        <w:pStyle w:val="BodyText"/>
        <w:numPr>
          <w:ilvl w:val="1"/>
          <w:numId w:val="27"/>
        </w:numPr>
        <w:rPr>
          <w:sz w:val="22"/>
        </w:rPr>
      </w:pPr>
      <w:r w:rsidRPr="00E26196">
        <w:rPr>
          <w:sz w:val="22"/>
        </w:rPr>
        <w:t>MTC applications require devices that are very cheap (so that they can be deployed on a mass scale or in a disposable manner), requiring techniques that significantly reduce complexity and cost</w:t>
      </w:r>
      <w:r w:rsidR="00E26196">
        <w:rPr>
          <w:sz w:val="22"/>
        </w:rPr>
        <w:t>,</w:t>
      </w:r>
      <w:r w:rsidR="004E27A8" w:rsidRPr="00E26196">
        <w:rPr>
          <w:sz w:val="22"/>
        </w:rPr>
        <w:t xml:space="preserve"> e.g.</w:t>
      </w:r>
      <w:r w:rsidR="00175655">
        <w:rPr>
          <w:sz w:val="22"/>
        </w:rPr>
        <w:t>,</w:t>
      </w:r>
      <w:r w:rsidR="004E27A8" w:rsidRPr="00E26196">
        <w:rPr>
          <w:sz w:val="22"/>
        </w:rPr>
        <w:t xml:space="preserve"> reduced device bandwidth, </w:t>
      </w:r>
      <w:r w:rsidR="00175655">
        <w:rPr>
          <w:sz w:val="22"/>
        </w:rPr>
        <w:t xml:space="preserve">small </w:t>
      </w:r>
      <w:r w:rsidR="004E27A8" w:rsidRPr="00E26196">
        <w:rPr>
          <w:sz w:val="22"/>
        </w:rPr>
        <w:t>number of antennas, etc.</w:t>
      </w:r>
    </w:p>
    <w:p w14:paraId="72A0B151" w14:textId="4A18DF36" w:rsidR="00B277FE" w:rsidRPr="00E26196" w:rsidRDefault="00B277FE" w:rsidP="00B277FE">
      <w:pPr>
        <w:pStyle w:val="BodyText"/>
        <w:numPr>
          <w:ilvl w:val="0"/>
          <w:numId w:val="27"/>
        </w:numPr>
        <w:rPr>
          <w:sz w:val="22"/>
        </w:rPr>
      </w:pPr>
      <w:r w:rsidRPr="00E26196">
        <w:rPr>
          <w:sz w:val="22"/>
        </w:rPr>
        <w:t>Power consumption:</w:t>
      </w:r>
    </w:p>
    <w:p w14:paraId="37380458" w14:textId="78AAF60D" w:rsidR="00B277FE" w:rsidRPr="00E26196" w:rsidRDefault="00B277FE" w:rsidP="00B277FE">
      <w:pPr>
        <w:pStyle w:val="BodyText"/>
        <w:numPr>
          <w:ilvl w:val="1"/>
          <w:numId w:val="27"/>
        </w:numPr>
        <w:rPr>
          <w:sz w:val="22"/>
        </w:rPr>
      </w:pPr>
      <w:r w:rsidRPr="00E26196">
        <w:rPr>
          <w:sz w:val="22"/>
        </w:rPr>
        <w:t xml:space="preserve">The power consumption of MTC devices should be reduced </w:t>
      </w:r>
      <w:r w:rsidR="006E1017">
        <w:rPr>
          <w:sz w:val="22"/>
        </w:rPr>
        <w:t>to support</w:t>
      </w:r>
      <w:r w:rsidRPr="00E26196">
        <w:rPr>
          <w:sz w:val="22"/>
        </w:rPr>
        <w:t xml:space="preserve"> up to ten years </w:t>
      </w:r>
      <w:r w:rsidR="006E1017">
        <w:rPr>
          <w:sz w:val="22"/>
        </w:rPr>
        <w:t xml:space="preserve">of </w:t>
      </w:r>
      <w:r w:rsidRPr="00E26196">
        <w:rPr>
          <w:sz w:val="22"/>
        </w:rPr>
        <w:t xml:space="preserve">battery life with </w:t>
      </w:r>
      <w:r w:rsidR="006E1017">
        <w:rPr>
          <w:sz w:val="22"/>
        </w:rPr>
        <w:t xml:space="preserve">a </w:t>
      </w:r>
      <w:r w:rsidRPr="00E26196">
        <w:rPr>
          <w:sz w:val="22"/>
        </w:rPr>
        <w:t>battery capacity of 5 Wh (Watt-hours), even in locations with adverse coverage conditions with up to 164 dB MCL.</w:t>
      </w:r>
    </w:p>
    <w:p w14:paraId="12E5F02C" w14:textId="22AFCD48" w:rsidR="000175BA" w:rsidRPr="00E26196" w:rsidRDefault="00B277FE" w:rsidP="000175BA">
      <w:pPr>
        <w:pStyle w:val="BodyText"/>
        <w:numPr>
          <w:ilvl w:val="0"/>
          <w:numId w:val="27"/>
        </w:numPr>
        <w:rPr>
          <w:sz w:val="22"/>
        </w:rPr>
      </w:pPr>
      <w:r w:rsidRPr="00E26196">
        <w:rPr>
          <w:sz w:val="22"/>
        </w:rPr>
        <w:t>Latency:</w:t>
      </w:r>
    </w:p>
    <w:p w14:paraId="4D630145" w14:textId="7AA3C0A7" w:rsidR="00B277FE" w:rsidRPr="00E26196" w:rsidRDefault="00B277FE" w:rsidP="00B277FE">
      <w:pPr>
        <w:pStyle w:val="BodyText"/>
        <w:numPr>
          <w:ilvl w:val="1"/>
          <w:numId w:val="27"/>
        </w:numPr>
        <w:rPr>
          <w:sz w:val="22"/>
        </w:rPr>
      </w:pPr>
      <w:r w:rsidRPr="00E26196">
        <w:rPr>
          <w:sz w:val="22"/>
        </w:rPr>
        <w:t>MTC devices may in general support relaxed delay characteristics. Certain applications (e.g.</w:t>
      </w:r>
      <w:r w:rsidR="006E1017">
        <w:rPr>
          <w:sz w:val="22"/>
        </w:rPr>
        <w:t>,</w:t>
      </w:r>
      <w:r w:rsidRPr="00E26196">
        <w:rPr>
          <w:sz w:val="22"/>
        </w:rPr>
        <w:t xml:space="preserve"> alarms) may however require a reasonably strict delay profile. For devices supporting such applications</w:t>
      </w:r>
      <w:r w:rsidR="006E1017">
        <w:rPr>
          <w:sz w:val="22"/>
        </w:rPr>
        <w:t>,</w:t>
      </w:r>
      <w:r w:rsidRPr="00E26196">
        <w:rPr>
          <w:sz w:val="22"/>
        </w:rPr>
        <w:t xml:space="preserve"> a delay requirement of 10 seconds is appropriate for the uplink when measured from the application 'trigger event' to the packet being ready for transmission from the base station towards the core network.</w:t>
      </w:r>
    </w:p>
    <w:p w14:paraId="25A16E08" w14:textId="1D6A40A8" w:rsidR="00882074" w:rsidRPr="00E26196" w:rsidRDefault="008F23FF" w:rsidP="00B277FE">
      <w:pPr>
        <w:pStyle w:val="BodyText"/>
        <w:rPr>
          <w:sz w:val="22"/>
        </w:rPr>
      </w:pPr>
      <w:r w:rsidRPr="00E26196">
        <w:rPr>
          <w:sz w:val="22"/>
        </w:rPr>
        <w:t xml:space="preserve">To study the feasibility of NTN for </w:t>
      </w:r>
      <w:r w:rsidR="00882074" w:rsidRPr="00E26196">
        <w:rPr>
          <w:sz w:val="22"/>
        </w:rPr>
        <w:t xml:space="preserve">eMTC and </w:t>
      </w:r>
      <w:r w:rsidRPr="00E26196">
        <w:rPr>
          <w:sz w:val="22"/>
        </w:rPr>
        <w:t>NB-IoT, it is important to properly evaluate the various design targets</w:t>
      </w:r>
      <w:r w:rsidR="00882074" w:rsidRPr="00E26196">
        <w:rPr>
          <w:sz w:val="22"/>
        </w:rPr>
        <w:t xml:space="preserve"> originally</w:t>
      </w:r>
      <w:r w:rsidRPr="00E26196">
        <w:rPr>
          <w:sz w:val="22"/>
        </w:rPr>
        <w:t xml:space="preserve"> envisioned for NB-IoT and eMTC</w:t>
      </w:r>
      <w:r w:rsidR="00882074" w:rsidRPr="00E26196">
        <w:rPr>
          <w:sz w:val="22"/>
        </w:rPr>
        <w:t xml:space="preserve"> in the new context of NTN</w:t>
      </w:r>
      <w:r w:rsidR="00B277FE" w:rsidRPr="00E26196">
        <w:rPr>
          <w:sz w:val="22"/>
        </w:rPr>
        <w:t>, taking into account factors such as the additional complexity, cost, and power consumption associated with GNSS operation.</w:t>
      </w:r>
    </w:p>
    <w:p w14:paraId="49A5C6EE" w14:textId="2640DCDC" w:rsidR="00B277FE" w:rsidRDefault="00B277FE" w:rsidP="00B277FE">
      <w:pPr>
        <w:pStyle w:val="BodyText"/>
        <w:rPr>
          <w:sz w:val="22"/>
          <w:lang w:val="en-GB"/>
        </w:rPr>
      </w:pPr>
      <w:r w:rsidRPr="00E26196">
        <w:rPr>
          <w:sz w:val="22"/>
        </w:rPr>
        <w:t xml:space="preserve">Additionally, </w:t>
      </w:r>
      <w:r w:rsidRPr="00E26196">
        <w:rPr>
          <w:sz w:val="22"/>
          <w:lang w:val="en-GB"/>
        </w:rPr>
        <w:t>the study item description clearly indicates that device types with PC3 and PC5 are in the scope and thus it will be necessary to evaluate</w:t>
      </w:r>
      <w:r w:rsidR="00470994" w:rsidRPr="00E26196">
        <w:rPr>
          <w:sz w:val="22"/>
          <w:lang w:val="en-GB"/>
        </w:rPr>
        <w:t xml:space="preserve"> both</w:t>
      </w:r>
      <w:r w:rsidRPr="00E26196">
        <w:rPr>
          <w:sz w:val="22"/>
          <w:lang w:val="en-GB"/>
        </w:rPr>
        <w:t xml:space="preserve"> </w:t>
      </w:r>
      <w:r w:rsidR="00470994" w:rsidRPr="00E26196">
        <w:rPr>
          <w:sz w:val="22"/>
          <w:lang w:val="en-GB"/>
        </w:rPr>
        <w:t>device types.</w:t>
      </w:r>
    </w:p>
    <w:p w14:paraId="61F17AAC" w14:textId="2FB49EA2" w:rsidR="00135806" w:rsidRPr="00256A82" w:rsidRDefault="00E1287F" w:rsidP="00CE0424">
      <w:pPr>
        <w:pStyle w:val="BodyText"/>
        <w:rPr>
          <w:sz w:val="22"/>
          <w:lang w:val="en-GB"/>
        </w:rPr>
      </w:pPr>
      <w:r>
        <w:rPr>
          <w:sz w:val="22"/>
          <w:lang w:val="en-GB"/>
        </w:rPr>
        <w:t xml:space="preserve">In our companion contribution </w:t>
      </w:r>
      <w:r>
        <w:rPr>
          <w:sz w:val="22"/>
          <w:lang w:val="en-GB"/>
        </w:rPr>
        <w:fldChar w:fldCharType="begin"/>
      </w:r>
      <w:r>
        <w:rPr>
          <w:sz w:val="22"/>
          <w:lang w:val="en-GB"/>
        </w:rPr>
        <w:instrText xml:space="preserve"> REF _Ref53919661 \r \h </w:instrText>
      </w:r>
      <w:r>
        <w:rPr>
          <w:sz w:val="22"/>
          <w:lang w:val="en-GB"/>
        </w:rPr>
      </w:r>
      <w:r>
        <w:rPr>
          <w:sz w:val="22"/>
          <w:lang w:val="en-GB"/>
        </w:rPr>
        <w:fldChar w:fldCharType="separate"/>
      </w:r>
      <w:r w:rsidR="002C45CD">
        <w:rPr>
          <w:sz w:val="22"/>
          <w:lang w:val="en-GB"/>
        </w:rPr>
        <w:t>[8]</w:t>
      </w:r>
      <w:r>
        <w:rPr>
          <w:sz w:val="22"/>
          <w:lang w:val="en-GB"/>
        </w:rPr>
        <w:fldChar w:fldCharType="end"/>
      </w:r>
      <w:r>
        <w:rPr>
          <w:sz w:val="22"/>
          <w:lang w:val="en-GB"/>
        </w:rPr>
        <w:t xml:space="preserve">, we discuss in more detail about evaluation assumptions for  </w:t>
      </w:r>
      <w:r w:rsidRPr="00E26196">
        <w:rPr>
          <w:sz w:val="22"/>
        </w:rPr>
        <w:t>eMTC and NB-IoT</w:t>
      </w:r>
      <w:r>
        <w:rPr>
          <w:sz w:val="22"/>
        </w:rPr>
        <w:t xml:space="preserve"> based NTN, and provide some initial evaluation results</w:t>
      </w:r>
      <w:r w:rsidR="002C45CD">
        <w:rPr>
          <w:sz w:val="22"/>
        </w:rPr>
        <w:t xml:space="preserve"> including link budget calculations</w:t>
      </w:r>
      <w:r>
        <w:rPr>
          <w:sz w:val="22"/>
        </w:rPr>
        <w:t>.</w:t>
      </w:r>
    </w:p>
    <w:p w14:paraId="49ACBBF2" w14:textId="5C482257" w:rsidR="00B277FE" w:rsidRPr="00E26196" w:rsidRDefault="00470994" w:rsidP="00B277FE">
      <w:pPr>
        <w:pStyle w:val="Observation"/>
        <w:rPr>
          <w:sz w:val="22"/>
        </w:rPr>
      </w:pPr>
      <w:bookmarkStart w:id="13" w:name="_Toc61635028"/>
      <w:r w:rsidRPr="00E26196">
        <w:rPr>
          <w:sz w:val="22"/>
        </w:rPr>
        <w:t xml:space="preserve">To study the feasibility of NTN for eMTC and NB-IoT, it is important to properly evaluate the various design targets originally envisioned for eMTC and </w:t>
      </w:r>
      <w:r w:rsidR="000F0CEA">
        <w:rPr>
          <w:sz w:val="22"/>
        </w:rPr>
        <w:t>NB-IoT</w:t>
      </w:r>
      <w:r w:rsidRPr="00E26196">
        <w:rPr>
          <w:sz w:val="22"/>
        </w:rPr>
        <w:t xml:space="preserve"> in the new context of NTN, taking into account factors such as the additional complexity, cost, and power consumption associated with GNSS operation.</w:t>
      </w:r>
      <w:bookmarkEnd w:id="13"/>
    </w:p>
    <w:p w14:paraId="73E7B136" w14:textId="550AAE94" w:rsidR="00AF0D36" w:rsidRPr="00256A82" w:rsidRDefault="00B277FE" w:rsidP="00AF0D36">
      <w:pPr>
        <w:pStyle w:val="Proposal"/>
        <w:rPr>
          <w:sz w:val="22"/>
        </w:rPr>
      </w:pPr>
      <w:bookmarkStart w:id="14" w:name="_Toc61635033"/>
      <w:r w:rsidRPr="00E26196">
        <w:rPr>
          <w:sz w:val="22"/>
        </w:rPr>
        <w:t xml:space="preserve">In Rel-17 IOT NTN SI, </w:t>
      </w:r>
      <w:r w:rsidR="00470994" w:rsidRPr="00E26196">
        <w:rPr>
          <w:sz w:val="22"/>
        </w:rPr>
        <w:t>evaluate eMTC and NB-IoT in the context of NTN at least for the following targets: (1) coverage performance through link budget analysis; (2) supported device density; (3) complexity and cost of equipping</w:t>
      </w:r>
      <w:r w:rsidR="00E731A9" w:rsidRPr="00E26196">
        <w:rPr>
          <w:sz w:val="22"/>
        </w:rPr>
        <w:t xml:space="preserve"> eMTC/NB-IoT</w:t>
      </w:r>
      <w:r w:rsidR="00E26196" w:rsidRPr="00E26196">
        <w:rPr>
          <w:sz w:val="22"/>
        </w:rPr>
        <w:t xml:space="preserve"> </w:t>
      </w:r>
      <w:r w:rsidR="00470994" w:rsidRPr="00E26196">
        <w:rPr>
          <w:sz w:val="22"/>
        </w:rPr>
        <w:t xml:space="preserve">devices with NTN capability; (4) power consumption performance of </w:t>
      </w:r>
      <w:r w:rsidR="000F0CEA">
        <w:rPr>
          <w:sz w:val="22"/>
        </w:rPr>
        <w:t>e</w:t>
      </w:r>
      <w:r w:rsidR="00470994" w:rsidRPr="00E26196">
        <w:rPr>
          <w:sz w:val="22"/>
        </w:rPr>
        <w:t>MTC</w:t>
      </w:r>
      <w:r w:rsidR="000F0CEA">
        <w:rPr>
          <w:sz w:val="22"/>
        </w:rPr>
        <w:t>/NB-IoT</w:t>
      </w:r>
      <w:r w:rsidR="00470994" w:rsidRPr="00E26196">
        <w:rPr>
          <w:sz w:val="22"/>
        </w:rPr>
        <w:t xml:space="preserve"> devices with NTN connectivity; and (5) latency performance of </w:t>
      </w:r>
      <w:r w:rsidR="00E26196" w:rsidRPr="00E26196">
        <w:rPr>
          <w:sz w:val="22"/>
        </w:rPr>
        <w:t>eMTC/NB-IoT</w:t>
      </w:r>
      <w:r w:rsidR="00470994" w:rsidRPr="00E26196">
        <w:rPr>
          <w:sz w:val="22"/>
        </w:rPr>
        <w:t xml:space="preserve"> devices in NTN systems.</w:t>
      </w:r>
      <w:bookmarkEnd w:id="14"/>
    </w:p>
    <w:p w14:paraId="37EB5693" w14:textId="77777777" w:rsidR="00C01F33" w:rsidRPr="00CE0424" w:rsidRDefault="00C01F33" w:rsidP="00CE0424">
      <w:pPr>
        <w:pStyle w:val="Heading1"/>
      </w:pPr>
      <w:r w:rsidRPr="00CE0424">
        <w:t>Conclusion</w:t>
      </w:r>
    </w:p>
    <w:p w14:paraId="5A650F21" w14:textId="77777777" w:rsidR="008E065E" w:rsidRPr="003C67C5" w:rsidRDefault="008E065E" w:rsidP="008E065E">
      <w:pPr>
        <w:pStyle w:val="BodyText"/>
        <w:rPr>
          <w:b/>
          <w:bCs/>
          <w:sz w:val="22"/>
        </w:rPr>
      </w:pPr>
      <w:r w:rsidRPr="003C67C5">
        <w:rPr>
          <w:sz w:val="22"/>
        </w:rPr>
        <w:t xml:space="preserve">In </w:t>
      </w:r>
      <w:r w:rsidR="007729A2" w:rsidRPr="003C67C5">
        <w:rPr>
          <w:sz w:val="22"/>
        </w:rPr>
        <w:t xml:space="preserve">the previous </w:t>
      </w:r>
      <w:r w:rsidRPr="003C67C5">
        <w:rPr>
          <w:sz w:val="22"/>
        </w:rPr>
        <w:t>section</w:t>
      </w:r>
      <w:r w:rsidR="007729A2" w:rsidRPr="003C67C5">
        <w:rPr>
          <w:sz w:val="22"/>
        </w:rPr>
        <w:t>s</w:t>
      </w:r>
      <w:r w:rsidRPr="003C67C5">
        <w:rPr>
          <w:sz w:val="22"/>
        </w:rPr>
        <w:t xml:space="preserve"> we made the following observations:</w:t>
      </w:r>
      <w:r w:rsidR="00C93814" w:rsidRPr="003C67C5">
        <w:rPr>
          <w:b/>
          <w:bCs/>
          <w:sz w:val="22"/>
        </w:rPr>
        <w:t xml:space="preserve"> </w:t>
      </w:r>
    </w:p>
    <w:p w14:paraId="5AF9199F" w14:textId="77777777" w:rsidR="002C45CD" w:rsidRDefault="006F6582">
      <w:pPr>
        <w:pStyle w:val="TableofFigures"/>
        <w:tabs>
          <w:tab w:val="right" w:leader="dot" w:pos="9629"/>
        </w:tabs>
        <w:rPr>
          <w:rFonts w:asciiTheme="minorHAnsi" w:eastAsiaTheme="minorEastAsia" w:hAnsiTheme="minorHAnsi"/>
          <w:b w:val="0"/>
          <w:noProof/>
          <w:sz w:val="22"/>
        </w:rPr>
      </w:pPr>
      <w:r w:rsidRPr="003C67C5">
        <w:rPr>
          <w:b w:val="0"/>
          <w:bCs/>
          <w:sz w:val="22"/>
        </w:rPr>
        <w:fldChar w:fldCharType="begin"/>
      </w:r>
      <w:r w:rsidRPr="003C67C5">
        <w:rPr>
          <w:b w:val="0"/>
          <w:bCs/>
          <w:sz w:val="22"/>
        </w:rPr>
        <w:instrText xml:space="preserve"> TOC \f O \n \h \z \t "Observation" \c </w:instrText>
      </w:r>
      <w:r w:rsidRPr="003C67C5">
        <w:rPr>
          <w:b w:val="0"/>
          <w:bCs/>
          <w:sz w:val="22"/>
        </w:rPr>
        <w:fldChar w:fldCharType="separate"/>
      </w:r>
      <w:hyperlink w:anchor="_Toc61635021" w:history="1">
        <w:r w:rsidR="002C45CD" w:rsidRPr="00FE2691">
          <w:rPr>
            <w:rStyle w:val="Hyperlink"/>
            <w:noProof/>
          </w:rPr>
          <w:t>Observation 1</w:t>
        </w:r>
        <w:r w:rsidR="002C45CD">
          <w:rPr>
            <w:rFonts w:asciiTheme="minorHAnsi" w:eastAsiaTheme="minorEastAsia" w:hAnsiTheme="minorHAnsi"/>
            <w:b w:val="0"/>
            <w:noProof/>
            <w:sz w:val="22"/>
          </w:rPr>
          <w:tab/>
        </w:r>
        <w:r w:rsidR="002C45CD" w:rsidRPr="00FE2691">
          <w:rPr>
            <w:rStyle w:val="Hyperlink"/>
            <w:noProof/>
            <w:lang w:val="en-GB"/>
          </w:rPr>
          <w:t>eMTC and NB-IoT can address different types of IoT use cases based on their unique capabilities and thus complement each other.</w:t>
        </w:r>
      </w:hyperlink>
    </w:p>
    <w:p w14:paraId="2158D735"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2" w:history="1">
        <w:r w:rsidRPr="00FE2691">
          <w:rPr>
            <w:rStyle w:val="Hyperlink"/>
            <w:noProof/>
          </w:rPr>
          <w:t>Observation 2</w:t>
        </w:r>
        <w:r>
          <w:rPr>
            <w:rFonts w:asciiTheme="minorHAnsi" w:eastAsiaTheme="minorEastAsia" w:hAnsiTheme="minorHAnsi"/>
            <w:b w:val="0"/>
            <w:noProof/>
            <w:sz w:val="22"/>
          </w:rPr>
          <w:tab/>
        </w:r>
        <w:r w:rsidRPr="00FE2691">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6844DC0D"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3" w:history="1">
        <w:r w:rsidRPr="00FE2691">
          <w:rPr>
            <w:rStyle w:val="Hyperlink"/>
            <w:noProof/>
          </w:rPr>
          <w:t>Observation 3</w:t>
        </w:r>
        <w:r>
          <w:rPr>
            <w:rFonts w:asciiTheme="minorHAnsi" w:eastAsiaTheme="minorEastAsia" w:hAnsiTheme="minorHAnsi"/>
            <w:b w:val="0"/>
            <w:noProof/>
            <w:sz w:val="22"/>
          </w:rPr>
          <w:tab/>
        </w:r>
        <w:r w:rsidRPr="00FE2691">
          <w:rPr>
            <w:rStyle w:val="Hyperlink"/>
            <w:noProof/>
          </w:rPr>
          <w:t>The approved Rel-17 IoT NTN SID is dedicated to LEO and GEO satellite communication, while HAPS/HIBS and A2G are not in the scope.</w:t>
        </w:r>
      </w:hyperlink>
    </w:p>
    <w:p w14:paraId="34BAC9B9"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4" w:history="1">
        <w:r w:rsidRPr="00FE2691">
          <w:rPr>
            <w:rStyle w:val="Hyperlink"/>
            <w:noProof/>
          </w:rPr>
          <w:t>Observation 4</w:t>
        </w:r>
        <w:r>
          <w:rPr>
            <w:rFonts w:asciiTheme="minorHAnsi" w:eastAsiaTheme="minorEastAsia" w:hAnsiTheme="minorHAnsi"/>
            <w:b w:val="0"/>
            <w:noProof/>
            <w:sz w:val="22"/>
          </w:rPr>
          <w:tab/>
        </w:r>
        <w:r w:rsidRPr="00FE2691">
          <w:rPr>
            <w:rStyle w:val="Hyperlink"/>
            <w:noProof/>
          </w:rPr>
          <w:t xml:space="preserve">Rel-17 IoT NTN study should equally treat </w:t>
        </w:r>
        <w:r w:rsidRPr="00FE2691">
          <w:rPr>
            <w:rStyle w:val="Hyperlink"/>
            <w:noProof/>
            <w:lang w:val="en-GB"/>
          </w:rPr>
          <w:t>eMTC and NB-IoT. The study item will be incomplete unless each of them is properly studied for its feasibility for NTN.</w:t>
        </w:r>
      </w:hyperlink>
    </w:p>
    <w:p w14:paraId="7CD9805E"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5" w:history="1">
        <w:r w:rsidRPr="00FE2691">
          <w:rPr>
            <w:rStyle w:val="Hyperlink"/>
            <w:noProof/>
          </w:rPr>
          <w:t>Observation 5</w:t>
        </w:r>
        <w:r>
          <w:rPr>
            <w:rFonts w:asciiTheme="minorHAnsi" w:eastAsiaTheme="minorEastAsia" w:hAnsiTheme="minorHAnsi"/>
            <w:b w:val="0"/>
            <w:noProof/>
            <w:sz w:val="22"/>
          </w:rPr>
          <w:tab/>
        </w:r>
        <w:r w:rsidRPr="00FE2691">
          <w:rPr>
            <w:rStyle w:val="Hyperlink"/>
            <w:noProof/>
          </w:rPr>
          <w:t xml:space="preserve">It was agreed at </w:t>
        </w:r>
        <w:r w:rsidRPr="00FE2691">
          <w:rPr>
            <w:rStyle w:val="Hyperlink"/>
            <w:noProof/>
            <w:lang w:val="en-GB"/>
          </w:rPr>
          <w:t>RAN2#112e that support for EPC is assumed for IoT NTN.</w:t>
        </w:r>
      </w:hyperlink>
    </w:p>
    <w:p w14:paraId="3F1E7EE6"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6" w:history="1">
        <w:r w:rsidRPr="00FE2691">
          <w:rPr>
            <w:rStyle w:val="Hyperlink"/>
            <w:noProof/>
          </w:rPr>
          <w:t>Observation 6</w:t>
        </w:r>
        <w:r>
          <w:rPr>
            <w:rFonts w:asciiTheme="minorHAnsi" w:eastAsiaTheme="minorEastAsia" w:hAnsiTheme="minorHAnsi"/>
            <w:b w:val="0"/>
            <w:noProof/>
            <w:sz w:val="22"/>
          </w:rPr>
          <w:tab/>
        </w:r>
        <w:r w:rsidRPr="00FE2691">
          <w:rPr>
            <w:rStyle w:val="Hyperlink"/>
            <w:noProof/>
          </w:rPr>
          <w:t>Identifying specific bands of interest in sub 6 GHz can be a topic for RAN4 to discuss when a potential normative phase begins.</w:t>
        </w:r>
      </w:hyperlink>
    </w:p>
    <w:p w14:paraId="0FF71500"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7" w:history="1">
        <w:r w:rsidRPr="00FE2691">
          <w:rPr>
            <w:rStyle w:val="Hyperlink"/>
            <w:noProof/>
          </w:rPr>
          <w:t>Observation 7</w:t>
        </w:r>
        <w:r>
          <w:rPr>
            <w:rFonts w:asciiTheme="minorHAnsi" w:eastAsiaTheme="minorEastAsia" w:hAnsiTheme="minorHAnsi"/>
            <w:b w:val="0"/>
            <w:noProof/>
            <w:sz w:val="22"/>
          </w:rPr>
          <w:tab/>
        </w:r>
        <w:r w:rsidRPr="00FE2691">
          <w:rPr>
            <w:rStyle w:val="Hyperlink"/>
            <w:noProof/>
          </w:rPr>
          <w:t>The approved Rel-17 IoT NTN SID is dedicated to transparent payload.</w:t>
        </w:r>
      </w:hyperlink>
    </w:p>
    <w:p w14:paraId="14ED5381"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28" w:history="1">
        <w:r w:rsidRPr="00FE2691">
          <w:rPr>
            <w:rStyle w:val="Hyperlink"/>
            <w:noProof/>
          </w:rPr>
          <w:t>Observation 8</w:t>
        </w:r>
        <w:r>
          <w:rPr>
            <w:rFonts w:asciiTheme="minorHAnsi" w:eastAsiaTheme="minorEastAsia" w:hAnsiTheme="minorHAnsi"/>
            <w:b w:val="0"/>
            <w:noProof/>
            <w:sz w:val="22"/>
          </w:rPr>
          <w:tab/>
        </w:r>
        <w:r w:rsidRPr="00FE2691">
          <w:rPr>
            <w:rStyle w:val="Hyperlink"/>
            <w:noProof/>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hyperlink>
    </w:p>
    <w:p w14:paraId="7D91EC5D" w14:textId="6FA93FAC" w:rsidR="006E1C82" w:rsidRPr="003C67C5" w:rsidRDefault="006F6582" w:rsidP="008E065E">
      <w:pPr>
        <w:pStyle w:val="BodyText"/>
        <w:rPr>
          <w:b/>
          <w:bCs/>
          <w:sz w:val="22"/>
        </w:rPr>
      </w:pPr>
      <w:r w:rsidRPr="003C67C5">
        <w:rPr>
          <w:b/>
          <w:bCs/>
          <w:sz w:val="22"/>
        </w:rPr>
        <w:fldChar w:fldCharType="end"/>
      </w:r>
    </w:p>
    <w:p w14:paraId="6225A1B8" w14:textId="77777777" w:rsidR="006E1C82" w:rsidRPr="003C67C5" w:rsidRDefault="008E065E" w:rsidP="006E1C82">
      <w:pPr>
        <w:pStyle w:val="BodyText"/>
        <w:rPr>
          <w:sz w:val="22"/>
        </w:rPr>
      </w:pPr>
      <w:r w:rsidRPr="003C67C5">
        <w:rPr>
          <w:sz w:val="22"/>
        </w:rPr>
        <w:t xml:space="preserve">Based on the discussion in </w:t>
      </w:r>
      <w:r w:rsidR="007729A2" w:rsidRPr="003C67C5">
        <w:rPr>
          <w:sz w:val="22"/>
        </w:rPr>
        <w:t xml:space="preserve">the previous </w:t>
      </w:r>
      <w:r w:rsidRPr="003C67C5">
        <w:rPr>
          <w:sz w:val="22"/>
        </w:rPr>
        <w:t>section</w:t>
      </w:r>
      <w:r w:rsidR="007729A2" w:rsidRPr="003C67C5">
        <w:rPr>
          <w:sz w:val="22"/>
        </w:rPr>
        <w:t>s</w:t>
      </w:r>
      <w:r w:rsidRPr="003C67C5">
        <w:rPr>
          <w:sz w:val="22"/>
        </w:rPr>
        <w:t xml:space="preserve"> we propose the following:</w:t>
      </w:r>
    </w:p>
    <w:p w14:paraId="03CB379C" w14:textId="77777777" w:rsidR="002C45CD" w:rsidRDefault="006E1C82">
      <w:pPr>
        <w:pStyle w:val="TableofFigures"/>
        <w:tabs>
          <w:tab w:val="right" w:leader="dot" w:pos="9629"/>
        </w:tabs>
        <w:rPr>
          <w:rFonts w:asciiTheme="minorHAnsi" w:eastAsiaTheme="minorEastAsia" w:hAnsiTheme="minorHAnsi"/>
          <w:b w:val="0"/>
          <w:noProof/>
          <w:sz w:val="22"/>
        </w:rPr>
      </w:pPr>
      <w:r w:rsidRPr="003C67C5">
        <w:rPr>
          <w:b w:val="0"/>
          <w:bCs/>
          <w:sz w:val="22"/>
        </w:rPr>
        <w:fldChar w:fldCharType="begin"/>
      </w:r>
      <w:r w:rsidRPr="003C67C5">
        <w:rPr>
          <w:b w:val="0"/>
          <w:bCs/>
          <w:sz w:val="22"/>
        </w:rPr>
        <w:instrText xml:space="preserve"> TOC \n \h \z \t "Proposal" \c </w:instrText>
      </w:r>
      <w:r w:rsidRPr="003C67C5">
        <w:rPr>
          <w:b w:val="0"/>
          <w:bCs/>
          <w:sz w:val="22"/>
        </w:rPr>
        <w:fldChar w:fldCharType="separate"/>
      </w:r>
      <w:hyperlink w:anchor="_Toc61635029" w:history="1">
        <w:r w:rsidR="002C45CD" w:rsidRPr="00283ED6">
          <w:rPr>
            <w:rStyle w:val="Hyperlink"/>
            <w:noProof/>
          </w:rPr>
          <w:t>Proposal 1</w:t>
        </w:r>
        <w:r w:rsidR="002C45CD">
          <w:rPr>
            <w:rFonts w:asciiTheme="minorHAnsi" w:eastAsiaTheme="minorEastAsia" w:hAnsiTheme="minorHAnsi"/>
            <w:b w:val="0"/>
            <w:noProof/>
            <w:sz w:val="22"/>
          </w:rPr>
          <w:tab/>
        </w:r>
        <w:r w:rsidR="002C45CD" w:rsidRPr="00283ED6">
          <w:rPr>
            <w:rStyle w:val="Hyperlink"/>
            <w:noProof/>
          </w:rPr>
          <w:t>IoT NTN study should focus on essential adaptations for NTN, while generic enhancements motivated by non-NTN are outside the scope.</w:t>
        </w:r>
      </w:hyperlink>
    </w:p>
    <w:p w14:paraId="262105EF"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30" w:history="1">
        <w:r w:rsidRPr="00283ED6">
          <w:rPr>
            <w:rStyle w:val="Hyperlink"/>
            <w:noProof/>
          </w:rPr>
          <w:t>Proposal 2</w:t>
        </w:r>
        <w:r>
          <w:rPr>
            <w:rFonts w:asciiTheme="minorHAnsi" w:eastAsiaTheme="minorEastAsia" w:hAnsiTheme="minorHAnsi"/>
            <w:b w:val="0"/>
            <w:noProof/>
            <w:sz w:val="22"/>
          </w:rPr>
          <w:tab/>
        </w:r>
        <w:r w:rsidRPr="00283ED6">
          <w:rPr>
            <w:rStyle w:val="Hyperlink"/>
            <w:noProof/>
          </w:rPr>
          <w:t>In Rel-17 IOT NTN SI, consider nominal S band (2 GHz) for evaluation purposes.</w:t>
        </w:r>
      </w:hyperlink>
    </w:p>
    <w:p w14:paraId="5BED6662"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31" w:history="1">
        <w:r w:rsidRPr="00283ED6">
          <w:rPr>
            <w:rStyle w:val="Hyperlink"/>
            <w:noProof/>
          </w:rPr>
          <w:t>Proposal 3</w:t>
        </w:r>
        <w:r>
          <w:rPr>
            <w:rFonts w:asciiTheme="minorHAnsi" w:eastAsiaTheme="minorEastAsia" w:hAnsiTheme="minorHAnsi"/>
            <w:b w:val="0"/>
            <w:noProof/>
            <w:sz w:val="22"/>
          </w:rPr>
          <w:tab/>
        </w:r>
        <w:r w:rsidRPr="00283ED6">
          <w:rPr>
            <w:rStyle w:val="Hyperlink"/>
            <w:noProof/>
          </w:rPr>
          <w:t>In Rel-17 IOT NTN SI, limit the focus to FDD only.</w:t>
        </w:r>
      </w:hyperlink>
    </w:p>
    <w:p w14:paraId="3D7D9F29"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32" w:history="1">
        <w:r w:rsidRPr="00283ED6">
          <w:rPr>
            <w:rStyle w:val="Hyperlink"/>
            <w:noProof/>
          </w:rPr>
          <w:t>Proposal 4</w:t>
        </w:r>
        <w:r>
          <w:rPr>
            <w:rFonts w:asciiTheme="minorHAnsi" w:eastAsiaTheme="minorEastAsia" w:hAnsiTheme="minorHAnsi"/>
            <w:b w:val="0"/>
            <w:noProof/>
            <w:sz w:val="22"/>
          </w:rPr>
          <w:tab/>
        </w:r>
        <w:r w:rsidRPr="00283ED6">
          <w:rPr>
            <w:rStyle w:val="Hyperlink"/>
            <w:noProof/>
          </w:rPr>
          <w:t>In Rel-17 IOT NTN SI, prioritize earth fixed beams.</w:t>
        </w:r>
      </w:hyperlink>
    </w:p>
    <w:p w14:paraId="174FAE68" w14:textId="77777777" w:rsidR="002C45CD" w:rsidRDefault="002C45CD">
      <w:pPr>
        <w:pStyle w:val="TableofFigures"/>
        <w:tabs>
          <w:tab w:val="right" w:leader="dot" w:pos="9629"/>
        </w:tabs>
        <w:rPr>
          <w:rFonts w:asciiTheme="minorHAnsi" w:eastAsiaTheme="minorEastAsia" w:hAnsiTheme="minorHAnsi"/>
          <w:b w:val="0"/>
          <w:noProof/>
          <w:sz w:val="22"/>
        </w:rPr>
      </w:pPr>
      <w:hyperlink w:anchor="_Toc61635033" w:history="1">
        <w:r w:rsidRPr="00283ED6">
          <w:rPr>
            <w:rStyle w:val="Hyperlink"/>
            <w:noProof/>
          </w:rPr>
          <w:t>Proposal 5</w:t>
        </w:r>
        <w:r>
          <w:rPr>
            <w:rFonts w:asciiTheme="minorHAnsi" w:eastAsiaTheme="minorEastAsia" w:hAnsiTheme="minorHAnsi"/>
            <w:b w:val="0"/>
            <w:noProof/>
            <w:sz w:val="22"/>
          </w:rPr>
          <w:tab/>
        </w:r>
        <w:r w:rsidRPr="00283ED6">
          <w:rPr>
            <w:rStyle w:val="Hyperlink"/>
            <w:noProof/>
          </w:rPr>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hyperlink>
    </w:p>
    <w:p w14:paraId="58ACA235" w14:textId="66E27C55" w:rsidR="00C01F33" w:rsidRPr="003C67C5" w:rsidRDefault="006E1C82" w:rsidP="005F7FF0">
      <w:pPr>
        <w:pStyle w:val="BodyText"/>
        <w:rPr>
          <w:b/>
          <w:bCs/>
          <w:sz w:val="22"/>
        </w:rPr>
      </w:pPr>
      <w:r w:rsidRPr="003C67C5">
        <w:rPr>
          <w:b/>
          <w:bCs/>
          <w:sz w:val="22"/>
        </w:rPr>
        <w:fldChar w:fldCharType="end"/>
      </w:r>
    </w:p>
    <w:p w14:paraId="71D79D99" w14:textId="77777777" w:rsidR="00F507D1" w:rsidRPr="00CE0424" w:rsidRDefault="00F507D1" w:rsidP="00CE0424">
      <w:pPr>
        <w:pStyle w:val="Heading1"/>
      </w:pPr>
      <w:bookmarkStart w:id="15" w:name="_In-sequence_SDU_delivery"/>
      <w:bookmarkEnd w:id="15"/>
      <w:r w:rsidRPr="00CE0424">
        <w:t>References</w:t>
      </w:r>
    </w:p>
    <w:p w14:paraId="77C5E852" w14:textId="3A3EBA10" w:rsidR="005F3025" w:rsidRPr="00E731A9" w:rsidRDefault="006131EF" w:rsidP="00311702">
      <w:pPr>
        <w:pStyle w:val="Reference"/>
        <w:rPr>
          <w:sz w:val="22"/>
        </w:rPr>
      </w:pPr>
      <w:bookmarkStart w:id="16" w:name="_Ref49798330"/>
      <w:bookmarkStart w:id="17" w:name="_Ref174151459"/>
      <w:bookmarkStart w:id="18" w:name="_Ref189809556"/>
      <w:r w:rsidRPr="00E731A9">
        <w:rPr>
          <w:sz w:val="22"/>
        </w:rPr>
        <w:t>RP-</w:t>
      </w:r>
      <w:r w:rsidR="007D56FD">
        <w:rPr>
          <w:sz w:val="22"/>
        </w:rPr>
        <w:t>202689</w:t>
      </w:r>
      <w:r w:rsidR="005F3025" w:rsidRPr="00E731A9">
        <w:rPr>
          <w:sz w:val="22"/>
        </w:rPr>
        <w:t xml:space="preserve">, </w:t>
      </w:r>
      <w:r w:rsidRPr="00E731A9">
        <w:rPr>
          <w:sz w:val="22"/>
        </w:rPr>
        <w:t xml:space="preserve">Study on NB-IoT/eMTC support for Non-terrestrial </w:t>
      </w:r>
      <w:r w:rsidR="007B151C" w:rsidRPr="00E731A9">
        <w:rPr>
          <w:sz w:val="22"/>
        </w:rPr>
        <w:t>N</w:t>
      </w:r>
      <w:r w:rsidRPr="00E731A9">
        <w:rPr>
          <w:sz w:val="22"/>
        </w:rPr>
        <w:t>etwork</w:t>
      </w:r>
      <w:r w:rsidR="005F3025" w:rsidRPr="00E731A9">
        <w:rPr>
          <w:sz w:val="22"/>
        </w:rPr>
        <w:t xml:space="preserve">, </w:t>
      </w:r>
      <w:r w:rsidRPr="00E731A9">
        <w:rPr>
          <w:sz w:val="22"/>
        </w:rPr>
        <w:t>RAN#</w:t>
      </w:r>
      <w:r w:rsidR="007D56FD">
        <w:rPr>
          <w:sz w:val="22"/>
        </w:rPr>
        <w:t>90</w:t>
      </w:r>
      <w:r w:rsidR="005F3025" w:rsidRPr="00E731A9">
        <w:rPr>
          <w:sz w:val="22"/>
        </w:rPr>
        <w:t>, D</w:t>
      </w:r>
      <w:r w:rsidRPr="00E731A9">
        <w:rPr>
          <w:sz w:val="22"/>
        </w:rPr>
        <w:t>ec 20</w:t>
      </w:r>
      <w:r w:rsidR="007D56FD">
        <w:rPr>
          <w:sz w:val="22"/>
        </w:rPr>
        <w:t>20</w:t>
      </w:r>
      <w:r w:rsidRPr="00E731A9">
        <w:rPr>
          <w:sz w:val="22"/>
        </w:rPr>
        <w:t>.</w:t>
      </w:r>
      <w:bookmarkEnd w:id="16"/>
    </w:p>
    <w:p w14:paraId="7E6E87CC" w14:textId="34CC7B0C" w:rsidR="005F3025" w:rsidRDefault="006131EF" w:rsidP="00311702">
      <w:pPr>
        <w:pStyle w:val="Reference"/>
        <w:rPr>
          <w:sz w:val="22"/>
        </w:rPr>
      </w:pPr>
      <w:bookmarkStart w:id="19" w:name="_Ref49798325"/>
      <w:r w:rsidRPr="00E731A9">
        <w:rPr>
          <w:sz w:val="22"/>
        </w:rPr>
        <w:t>TR</w:t>
      </w:r>
      <w:r w:rsidR="007B151C" w:rsidRPr="00E731A9">
        <w:rPr>
          <w:sz w:val="22"/>
        </w:rPr>
        <w:t xml:space="preserve"> </w:t>
      </w:r>
      <w:r w:rsidRPr="00E731A9">
        <w:rPr>
          <w:sz w:val="22"/>
        </w:rPr>
        <w:t>38.821</w:t>
      </w:r>
      <w:r w:rsidR="005F3025" w:rsidRPr="00E731A9">
        <w:rPr>
          <w:sz w:val="22"/>
        </w:rPr>
        <w:t xml:space="preserve">, </w:t>
      </w:r>
      <w:r w:rsidR="007B151C" w:rsidRPr="00E731A9">
        <w:rPr>
          <w:sz w:val="22"/>
        </w:rPr>
        <w:t>Solutions for NR to support Non-terrestrial Networks (NTN)</w:t>
      </w:r>
      <w:r w:rsidR="005F3025" w:rsidRPr="00E731A9">
        <w:rPr>
          <w:sz w:val="22"/>
        </w:rPr>
        <w:t xml:space="preserve">, </w:t>
      </w:r>
      <w:r w:rsidR="007B151C" w:rsidRPr="00E731A9">
        <w:rPr>
          <w:sz w:val="22"/>
        </w:rPr>
        <w:t>3GPP</w:t>
      </w:r>
      <w:r w:rsidR="005F3025" w:rsidRPr="00E731A9">
        <w:rPr>
          <w:sz w:val="22"/>
        </w:rPr>
        <w:t xml:space="preserve">, </w:t>
      </w:r>
      <w:r w:rsidR="000175BA" w:rsidRPr="00E731A9">
        <w:rPr>
          <w:sz w:val="22"/>
        </w:rPr>
        <w:t>V</w:t>
      </w:r>
      <w:r w:rsidR="007B151C" w:rsidRPr="00E731A9">
        <w:rPr>
          <w:sz w:val="22"/>
        </w:rPr>
        <w:t>16.0.0</w:t>
      </w:r>
      <w:r w:rsidR="005F3025" w:rsidRPr="00E731A9">
        <w:rPr>
          <w:sz w:val="22"/>
        </w:rPr>
        <w:t xml:space="preserve">, </w:t>
      </w:r>
      <w:r w:rsidR="007B151C" w:rsidRPr="00E731A9">
        <w:rPr>
          <w:sz w:val="22"/>
        </w:rPr>
        <w:t>Jan 2016.</w:t>
      </w:r>
      <w:bookmarkEnd w:id="19"/>
    </w:p>
    <w:p w14:paraId="23994EC2" w14:textId="7EF6BC9C" w:rsidR="00E744BA" w:rsidRPr="0024791E" w:rsidRDefault="00E744BA" w:rsidP="00311702">
      <w:pPr>
        <w:pStyle w:val="Reference"/>
        <w:rPr>
          <w:sz w:val="22"/>
        </w:rPr>
      </w:pPr>
      <w:r w:rsidRPr="0024791E">
        <w:rPr>
          <w:sz w:val="22"/>
        </w:rPr>
        <w:t>3GPP TR 38.913, “Study on scenarios and requirements for next generation access technologies,” version 1</w:t>
      </w:r>
      <w:r w:rsidR="00A611BF" w:rsidRPr="0024791E">
        <w:rPr>
          <w:sz w:val="22"/>
        </w:rPr>
        <w:t>6</w:t>
      </w:r>
      <w:r w:rsidRPr="0024791E">
        <w:rPr>
          <w:sz w:val="22"/>
        </w:rPr>
        <w:t>.0.0, July 20</w:t>
      </w:r>
      <w:r w:rsidR="00A611BF" w:rsidRPr="0024791E">
        <w:rPr>
          <w:sz w:val="22"/>
        </w:rPr>
        <w:t>20</w:t>
      </w:r>
      <w:r w:rsidRPr="0024791E">
        <w:rPr>
          <w:sz w:val="22"/>
        </w:rPr>
        <w:t>.</w:t>
      </w:r>
    </w:p>
    <w:p w14:paraId="0D888858" w14:textId="4A707CD8" w:rsidR="00877379" w:rsidRPr="00E731A9" w:rsidRDefault="00877379" w:rsidP="00877379">
      <w:pPr>
        <w:pStyle w:val="Reference"/>
        <w:rPr>
          <w:sz w:val="22"/>
        </w:rPr>
      </w:pPr>
      <w:bookmarkStart w:id="20" w:name="_Ref51243098"/>
      <w:r w:rsidRPr="00E731A9">
        <w:rPr>
          <w:rFonts w:cs="Arial"/>
          <w:color w:val="222222"/>
          <w:sz w:val="22"/>
          <w:shd w:val="clear" w:color="auto" w:fill="FFFFFF"/>
        </w:rPr>
        <w:t>A. Hoglund,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20"/>
    </w:p>
    <w:p w14:paraId="7AD17686" w14:textId="10DE05A7" w:rsidR="00877379" w:rsidRPr="00E731A9" w:rsidRDefault="00877379" w:rsidP="00877379">
      <w:pPr>
        <w:pStyle w:val="Reference"/>
        <w:rPr>
          <w:sz w:val="22"/>
        </w:rPr>
      </w:pPr>
      <w:bookmarkStart w:id="21" w:name="_Ref51243406"/>
      <w:r w:rsidRPr="00E731A9">
        <w:rPr>
          <w:rFonts w:cs="Arial"/>
          <w:color w:val="222222"/>
          <w:sz w:val="22"/>
          <w:shd w:val="clear" w:color="auto" w:fill="FFFFFF"/>
        </w:rPr>
        <w:t xml:space="preserve">Y.P.E. Wang, X. Lin, A. Adhikary, A. Grovlen,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21"/>
    </w:p>
    <w:p w14:paraId="4C84AE2A" w14:textId="339DD3C0" w:rsidR="000175BA" w:rsidRPr="00E731A9" w:rsidRDefault="000175BA" w:rsidP="000175BA">
      <w:pPr>
        <w:pStyle w:val="Reference"/>
        <w:rPr>
          <w:sz w:val="22"/>
        </w:rPr>
      </w:pPr>
      <w:bookmarkStart w:id="22" w:name="_Ref51251630"/>
      <w:bookmarkStart w:id="23" w:name="_Ref51251276"/>
      <w:r w:rsidRPr="00E731A9">
        <w:rPr>
          <w:sz w:val="22"/>
        </w:rPr>
        <w:t>TR 36.888, Machine-Type Communications (MTC) User Equipments (UEs) based on LTE, 3GPP, V12.0.0, June 2013.</w:t>
      </w:r>
      <w:bookmarkEnd w:id="22"/>
    </w:p>
    <w:p w14:paraId="715CA09B" w14:textId="32C12902" w:rsidR="003A7EF3" w:rsidRDefault="00882074" w:rsidP="00CE0424">
      <w:pPr>
        <w:pStyle w:val="Reference"/>
        <w:rPr>
          <w:sz w:val="22"/>
        </w:rPr>
      </w:pPr>
      <w:bookmarkStart w:id="24" w:name="_Ref51251643"/>
      <w:r w:rsidRPr="00E731A9">
        <w:rPr>
          <w:sz w:val="22"/>
        </w:rPr>
        <w:t xml:space="preserve">TR </w:t>
      </w:r>
      <w:r w:rsidR="000175BA" w:rsidRPr="00E731A9">
        <w:rPr>
          <w:sz w:val="22"/>
        </w:rPr>
        <w:t>45.820</w:t>
      </w:r>
      <w:r w:rsidRPr="00E731A9">
        <w:rPr>
          <w:sz w:val="22"/>
        </w:rPr>
        <w:t xml:space="preserve">, </w:t>
      </w:r>
      <w:r w:rsidR="000175BA" w:rsidRPr="00E731A9">
        <w:rPr>
          <w:sz w:val="22"/>
        </w:rPr>
        <w:t xml:space="preserve">Cellular system support for ultra-low complexity and low throughput Internet of Things (CIoT), </w:t>
      </w:r>
      <w:r w:rsidRPr="00E731A9">
        <w:rPr>
          <w:sz w:val="22"/>
        </w:rPr>
        <w:t xml:space="preserve">3GPP, </w:t>
      </w:r>
      <w:r w:rsidR="000175BA" w:rsidRPr="00E731A9">
        <w:rPr>
          <w:sz w:val="22"/>
        </w:rPr>
        <w:t>V</w:t>
      </w:r>
      <w:r w:rsidRPr="00E731A9">
        <w:rPr>
          <w:sz w:val="22"/>
        </w:rPr>
        <w:t>1</w:t>
      </w:r>
      <w:r w:rsidR="000175BA" w:rsidRPr="00E731A9">
        <w:rPr>
          <w:sz w:val="22"/>
        </w:rPr>
        <w:t>3</w:t>
      </w:r>
      <w:r w:rsidRPr="00E731A9">
        <w:rPr>
          <w:sz w:val="22"/>
        </w:rPr>
        <w:t>.</w:t>
      </w:r>
      <w:r w:rsidR="000175BA" w:rsidRPr="00E731A9">
        <w:rPr>
          <w:sz w:val="22"/>
        </w:rPr>
        <w:t>1</w:t>
      </w:r>
      <w:r w:rsidRPr="00E731A9">
        <w:rPr>
          <w:sz w:val="22"/>
        </w:rPr>
        <w:t xml:space="preserve">.0, </w:t>
      </w:r>
      <w:r w:rsidR="000175BA" w:rsidRPr="00E731A9">
        <w:rPr>
          <w:sz w:val="22"/>
        </w:rPr>
        <w:t>November</w:t>
      </w:r>
      <w:r w:rsidRPr="00E731A9">
        <w:rPr>
          <w:sz w:val="22"/>
        </w:rPr>
        <w:t xml:space="preserve"> 201</w:t>
      </w:r>
      <w:r w:rsidR="000175BA" w:rsidRPr="00E731A9">
        <w:rPr>
          <w:sz w:val="22"/>
        </w:rPr>
        <w:t>5</w:t>
      </w:r>
      <w:r w:rsidRPr="00E731A9">
        <w:rPr>
          <w:sz w:val="22"/>
        </w:rPr>
        <w:t>.</w:t>
      </w:r>
      <w:bookmarkEnd w:id="17"/>
      <w:bookmarkEnd w:id="18"/>
      <w:bookmarkEnd w:id="23"/>
      <w:bookmarkEnd w:id="24"/>
    </w:p>
    <w:p w14:paraId="374F136F" w14:textId="42AFC0A4" w:rsidR="00E1287F" w:rsidRPr="002C45CD" w:rsidRDefault="00E1287F" w:rsidP="00CE0424">
      <w:pPr>
        <w:pStyle w:val="Reference"/>
        <w:rPr>
          <w:sz w:val="22"/>
        </w:rPr>
      </w:pPr>
      <w:bookmarkStart w:id="25" w:name="_Ref53919661"/>
      <w:r w:rsidRPr="002C45CD">
        <w:rPr>
          <w:sz w:val="22"/>
        </w:rPr>
        <w:lastRenderedPageBreak/>
        <w:t>R1-2</w:t>
      </w:r>
      <w:r w:rsidR="00DF1753" w:rsidRPr="002C45CD">
        <w:rPr>
          <w:sz w:val="22"/>
        </w:rPr>
        <w:t>100934</w:t>
      </w:r>
      <w:r w:rsidRPr="002C45CD">
        <w:rPr>
          <w:sz w:val="22"/>
        </w:rPr>
        <w:t>, On evaluation assumptions for eMTC and NB-IoT based NTN, RAN1#10</w:t>
      </w:r>
      <w:r w:rsidR="00B008CE" w:rsidRPr="002C45CD">
        <w:rPr>
          <w:sz w:val="22"/>
        </w:rPr>
        <w:t>4</w:t>
      </w:r>
      <w:r w:rsidRPr="002C45CD">
        <w:rPr>
          <w:sz w:val="22"/>
        </w:rPr>
        <w:t>-e, Ericsson.</w:t>
      </w:r>
      <w:bookmarkEnd w:id="25"/>
    </w:p>
    <w:sectPr w:rsidR="00E1287F" w:rsidRPr="002C45C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0653F" w14:textId="77777777" w:rsidR="001C5DC1" w:rsidRDefault="001C5DC1">
      <w:r>
        <w:separator/>
      </w:r>
    </w:p>
  </w:endnote>
  <w:endnote w:type="continuationSeparator" w:id="0">
    <w:p w14:paraId="6E210694" w14:textId="77777777" w:rsidR="001C5DC1" w:rsidRDefault="001C5DC1">
      <w:r>
        <w:continuationSeparator/>
      </w:r>
    </w:p>
  </w:endnote>
  <w:endnote w:type="continuationNotice" w:id="1">
    <w:p w14:paraId="7EB61C4B" w14:textId="77777777" w:rsidR="001C5DC1" w:rsidRDefault="001C5D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A647A4" w:rsidRDefault="00A647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55527" w14:textId="77777777" w:rsidR="001C5DC1" w:rsidRDefault="001C5DC1">
      <w:r>
        <w:separator/>
      </w:r>
    </w:p>
  </w:footnote>
  <w:footnote w:type="continuationSeparator" w:id="0">
    <w:p w14:paraId="2D0B7E5D" w14:textId="77777777" w:rsidR="001C5DC1" w:rsidRDefault="001C5DC1">
      <w:r>
        <w:continuationSeparator/>
      </w:r>
    </w:p>
  </w:footnote>
  <w:footnote w:type="continuationNotice" w:id="1">
    <w:p w14:paraId="489F6BDC" w14:textId="77777777" w:rsidR="001C5DC1" w:rsidRDefault="001C5D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A647A4" w:rsidRDefault="00A647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4"/>
  </w:num>
  <w:num w:numId="23">
    <w:abstractNumId w:val="17"/>
  </w:num>
  <w:num w:numId="24">
    <w:abstractNumId w:val="23"/>
  </w:num>
  <w:num w:numId="25">
    <w:abstractNumId w:val="5"/>
  </w:num>
  <w:num w:numId="26">
    <w:abstractNumId w:val="12"/>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75B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B14"/>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C6"/>
    <w:rsid w:val="000C2E19"/>
    <w:rsid w:val="000D0D07"/>
    <w:rsid w:val="000D4797"/>
    <w:rsid w:val="000E0527"/>
    <w:rsid w:val="000E17EE"/>
    <w:rsid w:val="000E1E92"/>
    <w:rsid w:val="000E4B51"/>
    <w:rsid w:val="000F06D6"/>
    <w:rsid w:val="000F0CEA"/>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7C6"/>
    <w:rsid w:val="00135806"/>
    <w:rsid w:val="00137AB5"/>
    <w:rsid w:val="00137F0B"/>
    <w:rsid w:val="00151E23"/>
    <w:rsid w:val="001526E0"/>
    <w:rsid w:val="001551B5"/>
    <w:rsid w:val="001617CB"/>
    <w:rsid w:val="001659C1"/>
    <w:rsid w:val="00173A8E"/>
    <w:rsid w:val="0017502C"/>
    <w:rsid w:val="00175655"/>
    <w:rsid w:val="0018143F"/>
    <w:rsid w:val="00181FF8"/>
    <w:rsid w:val="00182EEB"/>
    <w:rsid w:val="00190AC1"/>
    <w:rsid w:val="0019341A"/>
    <w:rsid w:val="00194B6F"/>
    <w:rsid w:val="00196D80"/>
    <w:rsid w:val="00197DF9"/>
    <w:rsid w:val="001A1987"/>
    <w:rsid w:val="001A2564"/>
    <w:rsid w:val="001A6173"/>
    <w:rsid w:val="001A6BEE"/>
    <w:rsid w:val="001A6CBA"/>
    <w:rsid w:val="001B0D97"/>
    <w:rsid w:val="001B41A8"/>
    <w:rsid w:val="001B5A5D"/>
    <w:rsid w:val="001C1CE5"/>
    <w:rsid w:val="001C3D2A"/>
    <w:rsid w:val="001C5DC1"/>
    <w:rsid w:val="001D5117"/>
    <w:rsid w:val="001D51BA"/>
    <w:rsid w:val="001D53E7"/>
    <w:rsid w:val="001D6342"/>
    <w:rsid w:val="001D6D53"/>
    <w:rsid w:val="001E58E2"/>
    <w:rsid w:val="001E7AED"/>
    <w:rsid w:val="001F3916"/>
    <w:rsid w:val="001F54C5"/>
    <w:rsid w:val="001F662C"/>
    <w:rsid w:val="001F7074"/>
    <w:rsid w:val="00200490"/>
    <w:rsid w:val="00201F3A"/>
    <w:rsid w:val="00203F96"/>
    <w:rsid w:val="00206161"/>
    <w:rsid w:val="002069B2"/>
    <w:rsid w:val="00207FA3"/>
    <w:rsid w:val="00214DA8"/>
    <w:rsid w:val="00215423"/>
    <w:rsid w:val="002158FA"/>
    <w:rsid w:val="00220600"/>
    <w:rsid w:val="00221B69"/>
    <w:rsid w:val="002224DB"/>
    <w:rsid w:val="00223FCB"/>
    <w:rsid w:val="002252C3"/>
    <w:rsid w:val="00225C54"/>
    <w:rsid w:val="00230765"/>
    <w:rsid w:val="00230D18"/>
    <w:rsid w:val="002319E4"/>
    <w:rsid w:val="0023547D"/>
    <w:rsid w:val="00235632"/>
    <w:rsid w:val="00235872"/>
    <w:rsid w:val="002364DC"/>
    <w:rsid w:val="00241559"/>
    <w:rsid w:val="002435B3"/>
    <w:rsid w:val="002458EB"/>
    <w:rsid w:val="00245DEA"/>
    <w:rsid w:val="0024791E"/>
    <w:rsid w:val="002500C8"/>
    <w:rsid w:val="00255123"/>
    <w:rsid w:val="00256A82"/>
    <w:rsid w:val="00257543"/>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01F"/>
    <w:rsid w:val="002C41E6"/>
    <w:rsid w:val="002C45CD"/>
    <w:rsid w:val="002C7361"/>
    <w:rsid w:val="002D071A"/>
    <w:rsid w:val="002D208E"/>
    <w:rsid w:val="002D34B2"/>
    <w:rsid w:val="002D48B0"/>
    <w:rsid w:val="002D4F3C"/>
    <w:rsid w:val="002D5B37"/>
    <w:rsid w:val="002D7637"/>
    <w:rsid w:val="002E17F2"/>
    <w:rsid w:val="002E3D33"/>
    <w:rsid w:val="002E7CAE"/>
    <w:rsid w:val="002F13E4"/>
    <w:rsid w:val="002F2771"/>
    <w:rsid w:val="002F37A9"/>
    <w:rsid w:val="002F7534"/>
    <w:rsid w:val="00301CE6"/>
    <w:rsid w:val="0030256B"/>
    <w:rsid w:val="0030501F"/>
    <w:rsid w:val="00307BA1"/>
    <w:rsid w:val="00311702"/>
    <w:rsid w:val="00311E82"/>
    <w:rsid w:val="00313FD6"/>
    <w:rsid w:val="003143BD"/>
    <w:rsid w:val="00315363"/>
    <w:rsid w:val="00317CBC"/>
    <w:rsid w:val="003203ED"/>
    <w:rsid w:val="00322C9F"/>
    <w:rsid w:val="00324D23"/>
    <w:rsid w:val="00331751"/>
    <w:rsid w:val="00334579"/>
    <w:rsid w:val="00335858"/>
    <w:rsid w:val="00336BDA"/>
    <w:rsid w:val="00340430"/>
    <w:rsid w:val="00342BD7"/>
    <w:rsid w:val="0034635E"/>
    <w:rsid w:val="00346DB5"/>
    <w:rsid w:val="003477B1"/>
    <w:rsid w:val="003536AA"/>
    <w:rsid w:val="00357380"/>
    <w:rsid w:val="003602D9"/>
    <w:rsid w:val="003604CE"/>
    <w:rsid w:val="00370E47"/>
    <w:rsid w:val="003718A1"/>
    <w:rsid w:val="003742AC"/>
    <w:rsid w:val="00377CE1"/>
    <w:rsid w:val="00385BF0"/>
    <w:rsid w:val="003939FF"/>
    <w:rsid w:val="003A184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66"/>
    <w:rsid w:val="003C67C5"/>
    <w:rsid w:val="003C7806"/>
    <w:rsid w:val="003D109F"/>
    <w:rsid w:val="003D2478"/>
    <w:rsid w:val="003D3C45"/>
    <w:rsid w:val="003D5B1F"/>
    <w:rsid w:val="003D5B9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28E"/>
    <w:rsid w:val="00421105"/>
    <w:rsid w:val="00422AA4"/>
    <w:rsid w:val="004242F4"/>
    <w:rsid w:val="00427248"/>
    <w:rsid w:val="00432DB7"/>
    <w:rsid w:val="00437447"/>
    <w:rsid w:val="00441A92"/>
    <w:rsid w:val="004431DC"/>
    <w:rsid w:val="00444F56"/>
    <w:rsid w:val="00446488"/>
    <w:rsid w:val="004517AA"/>
    <w:rsid w:val="00452CAC"/>
    <w:rsid w:val="00457565"/>
    <w:rsid w:val="00457B71"/>
    <w:rsid w:val="00464689"/>
    <w:rsid w:val="004669E2"/>
    <w:rsid w:val="00470994"/>
    <w:rsid w:val="00470C31"/>
    <w:rsid w:val="00471C3D"/>
    <w:rsid w:val="00471DE0"/>
    <w:rsid w:val="004734D0"/>
    <w:rsid w:val="0047556B"/>
    <w:rsid w:val="00477768"/>
    <w:rsid w:val="00487019"/>
    <w:rsid w:val="00492BC5"/>
    <w:rsid w:val="004964F1"/>
    <w:rsid w:val="00497726"/>
    <w:rsid w:val="004A16BC"/>
    <w:rsid w:val="004A2B94"/>
    <w:rsid w:val="004B6F6A"/>
    <w:rsid w:val="004B7C0C"/>
    <w:rsid w:val="004C3898"/>
    <w:rsid w:val="004C4E4B"/>
    <w:rsid w:val="004C6B3A"/>
    <w:rsid w:val="004D36B1"/>
    <w:rsid w:val="004D7EBD"/>
    <w:rsid w:val="004E2680"/>
    <w:rsid w:val="004E27A8"/>
    <w:rsid w:val="004E28F9"/>
    <w:rsid w:val="004E462E"/>
    <w:rsid w:val="004E56DC"/>
    <w:rsid w:val="004E76F4"/>
    <w:rsid w:val="004F0B4E"/>
    <w:rsid w:val="004F0B6C"/>
    <w:rsid w:val="004F2078"/>
    <w:rsid w:val="004F4DA3"/>
    <w:rsid w:val="004F7543"/>
    <w:rsid w:val="004F7549"/>
    <w:rsid w:val="00505FFD"/>
    <w:rsid w:val="00506557"/>
    <w:rsid w:val="0050677A"/>
    <w:rsid w:val="005108D8"/>
    <w:rsid w:val="005116F9"/>
    <w:rsid w:val="005153A7"/>
    <w:rsid w:val="005207F4"/>
    <w:rsid w:val="005219CF"/>
    <w:rsid w:val="00532EDD"/>
    <w:rsid w:val="00534B59"/>
    <w:rsid w:val="00536759"/>
    <w:rsid w:val="00537C62"/>
    <w:rsid w:val="00540A42"/>
    <w:rsid w:val="005419A2"/>
    <w:rsid w:val="00546970"/>
    <w:rsid w:val="00550794"/>
    <w:rsid w:val="005542DB"/>
    <w:rsid w:val="00554E19"/>
    <w:rsid w:val="0056121F"/>
    <w:rsid w:val="00562EEC"/>
    <w:rsid w:val="00572505"/>
    <w:rsid w:val="00582809"/>
    <w:rsid w:val="0058794E"/>
    <w:rsid w:val="0058798C"/>
    <w:rsid w:val="005900FA"/>
    <w:rsid w:val="005935A4"/>
    <w:rsid w:val="005948C2"/>
    <w:rsid w:val="00595DCA"/>
    <w:rsid w:val="0059779B"/>
    <w:rsid w:val="005A209A"/>
    <w:rsid w:val="005A662D"/>
    <w:rsid w:val="005A7322"/>
    <w:rsid w:val="005B1409"/>
    <w:rsid w:val="005B35D7"/>
    <w:rsid w:val="005B3730"/>
    <w:rsid w:val="005B392A"/>
    <w:rsid w:val="005B3AA3"/>
    <w:rsid w:val="005B6F83"/>
    <w:rsid w:val="005C74FB"/>
    <w:rsid w:val="005D1602"/>
    <w:rsid w:val="005E0358"/>
    <w:rsid w:val="005E385F"/>
    <w:rsid w:val="005E5B81"/>
    <w:rsid w:val="005F2CB1"/>
    <w:rsid w:val="005F3025"/>
    <w:rsid w:val="005F618C"/>
    <w:rsid w:val="005F70BD"/>
    <w:rsid w:val="005F7FF0"/>
    <w:rsid w:val="0060283C"/>
    <w:rsid w:val="00604F14"/>
    <w:rsid w:val="00611B83"/>
    <w:rsid w:val="006131EF"/>
    <w:rsid w:val="00613257"/>
    <w:rsid w:val="00620A71"/>
    <w:rsid w:val="00620D80"/>
    <w:rsid w:val="006234A6"/>
    <w:rsid w:val="00626A77"/>
    <w:rsid w:val="00627987"/>
    <w:rsid w:val="00630001"/>
    <w:rsid w:val="006311B3"/>
    <w:rsid w:val="0063284C"/>
    <w:rsid w:val="00633AAC"/>
    <w:rsid w:val="00634A6C"/>
    <w:rsid w:val="00636398"/>
    <w:rsid w:val="006368D3"/>
    <w:rsid w:val="006377EC"/>
    <w:rsid w:val="0064151F"/>
    <w:rsid w:val="00641533"/>
    <w:rsid w:val="006418F7"/>
    <w:rsid w:val="0064208D"/>
    <w:rsid w:val="00643475"/>
    <w:rsid w:val="0064396A"/>
    <w:rsid w:val="006451E5"/>
    <w:rsid w:val="0064624E"/>
    <w:rsid w:val="00650AB9"/>
    <w:rsid w:val="006532EB"/>
    <w:rsid w:val="00655733"/>
    <w:rsid w:val="00655ACD"/>
    <w:rsid w:val="006567FC"/>
    <w:rsid w:val="00656A92"/>
    <w:rsid w:val="00656DDE"/>
    <w:rsid w:val="0066011D"/>
    <w:rsid w:val="006607C0"/>
    <w:rsid w:val="006613A6"/>
    <w:rsid w:val="006627A2"/>
    <w:rsid w:val="006634E6"/>
    <w:rsid w:val="00663864"/>
    <w:rsid w:val="006655EE"/>
    <w:rsid w:val="00667EE7"/>
    <w:rsid w:val="00670922"/>
    <w:rsid w:val="00670BE1"/>
    <w:rsid w:val="0067218F"/>
    <w:rsid w:val="006741F2"/>
    <w:rsid w:val="00674CC3"/>
    <w:rsid w:val="00675C72"/>
    <w:rsid w:val="006771F9"/>
    <w:rsid w:val="006776D7"/>
    <w:rsid w:val="0067793C"/>
    <w:rsid w:val="00681003"/>
    <w:rsid w:val="006817C9"/>
    <w:rsid w:val="00683ECE"/>
    <w:rsid w:val="00695FC2"/>
    <w:rsid w:val="00696949"/>
    <w:rsid w:val="00697052"/>
    <w:rsid w:val="006A46FB"/>
    <w:rsid w:val="006A5E28"/>
    <w:rsid w:val="006A697B"/>
    <w:rsid w:val="006A6CCD"/>
    <w:rsid w:val="006A7AFF"/>
    <w:rsid w:val="006B1816"/>
    <w:rsid w:val="006B2099"/>
    <w:rsid w:val="006B3BBF"/>
    <w:rsid w:val="006B50CF"/>
    <w:rsid w:val="006C03B8"/>
    <w:rsid w:val="006C5EC9"/>
    <w:rsid w:val="006C6059"/>
    <w:rsid w:val="006C643D"/>
    <w:rsid w:val="006C7522"/>
    <w:rsid w:val="006D6F08"/>
    <w:rsid w:val="006E062C"/>
    <w:rsid w:val="006E1017"/>
    <w:rsid w:val="006E1C82"/>
    <w:rsid w:val="006E28B7"/>
    <w:rsid w:val="006E2A9B"/>
    <w:rsid w:val="006E3310"/>
    <w:rsid w:val="006E3619"/>
    <w:rsid w:val="006E4E39"/>
    <w:rsid w:val="006E565E"/>
    <w:rsid w:val="006E673D"/>
    <w:rsid w:val="006E7D3B"/>
    <w:rsid w:val="006F1B70"/>
    <w:rsid w:val="006F341D"/>
    <w:rsid w:val="006F3CDE"/>
    <w:rsid w:val="006F58D4"/>
    <w:rsid w:val="006F6582"/>
    <w:rsid w:val="006F6AAE"/>
    <w:rsid w:val="0070346E"/>
    <w:rsid w:val="0070366E"/>
    <w:rsid w:val="00704EDB"/>
    <w:rsid w:val="00706101"/>
    <w:rsid w:val="00707072"/>
    <w:rsid w:val="00707D61"/>
    <w:rsid w:val="00712287"/>
    <w:rsid w:val="00712772"/>
    <w:rsid w:val="007148D3"/>
    <w:rsid w:val="00715B9A"/>
    <w:rsid w:val="00721B32"/>
    <w:rsid w:val="0072403C"/>
    <w:rsid w:val="0072570C"/>
    <w:rsid w:val="007257D0"/>
    <w:rsid w:val="00725BB7"/>
    <w:rsid w:val="00726EA6"/>
    <w:rsid w:val="00727208"/>
    <w:rsid w:val="00727680"/>
    <w:rsid w:val="007348B1"/>
    <w:rsid w:val="007362A6"/>
    <w:rsid w:val="00736D7D"/>
    <w:rsid w:val="00737AB4"/>
    <w:rsid w:val="00740E58"/>
    <w:rsid w:val="007445A0"/>
    <w:rsid w:val="0074524B"/>
    <w:rsid w:val="00745CD4"/>
    <w:rsid w:val="00747D8B"/>
    <w:rsid w:val="00750505"/>
    <w:rsid w:val="00751228"/>
    <w:rsid w:val="007546AE"/>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151C"/>
    <w:rsid w:val="007B3D2D"/>
    <w:rsid w:val="007B50AE"/>
    <w:rsid w:val="007B51DF"/>
    <w:rsid w:val="007C05DD"/>
    <w:rsid w:val="007C3D18"/>
    <w:rsid w:val="007C4D82"/>
    <w:rsid w:val="007C60BF"/>
    <w:rsid w:val="007C6350"/>
    <w:rsid w:val="007C6A07"/>
    <w:rsid w:val="007C75A1"/>
    <w:rsid w:val="007C77A5"/>
    <w:rsid w:val="007D04E5"/>
    <w:rsid w:val="007D56FD"/>
    <w:rsid w:val="007D5901"/>
    <w:rsid w:val="007D7526"/>
    <w:rsid w:val="007E4610"/>
    <w:rsid w:val="007E4715"/>
    <w:rsid w:val="007E505B"/>
    <w:rsid w:val="007E7091"/>
    <w:rsid w:val="00803FAE"/>
    <w:rsid w:val="0080605F"/>
    <w:rsid w:val="00807786"/>
    <w:rsid w:val="0080794D"/>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0D4"/>
    <w:rsid w:val="008D34F1"/>
    <w:rsid w:val="008D39D8"/>
    <w:rsid w:val="008D6D1A"/>
    <w:rsid w:val="008E065E"/>
    <w:rsid w:val="008E0927"/>
    <w:rsid w:val="008E1317"/>
    <w:rsid w:val="008E1909"/>
    <w:rsid w:val="008F1C4E"/>
    <w:rsid w:val="008F1EAB"/>
    <w:rsid w:val="008F23FF"/>
    <w:rsid w:val="008F33DC"/>
    <w:rsid w:val="008F477F"/>
    <w:rsid w:val="008F7F50"/>
    <w:rsid w:val="00902350"/>
    <w:rsid w:val="0090336B"/>
    <w:rsid w:val="009053AA"/>
    <w:rsid w:val="00906939"/>
    <w:rsid w:val="00910B7D"/>
    <w:rsid w:val="00911DFB"/>
    <w:rsid w:val="009139D9"/>
    <w:rsid w:val="00914AD8"/>
    <w:rsid w:val="00916079"/>
    <w:rsid w:val="00917CE9"/>
    <w:rsid w:val="0092075B"/>
    <w:rsid w:val="00920BF2"/>
    <w:rsid w:val="00922010"/>
    <w:rsid w:val="00926C71"/>
    <w:rsid w:val="00927E3E"/>
    <w:rsid w:val="00931BD9"/>
    <w:rsid w:val="009368F3"/>
    <w:rsid w:val="00937272"/>
    <w:rsid w:val="00941636"/>
    <w:rsid w:val="00943742"/>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194B"/>
    <w:rsid w:val="00971F08"/>
    <w:rsid w:val="0097603D"/>
    <w:rsid w:val="00976949"/>
    <w:rsid w:val="0098032B"/>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53D"/>
    <w:rsid w:val="009B4DF4"/>
    <w:rsid w:val="009B564E"/>
    <w:rsid w:val="009B7C88"/>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61F"/>
    <w:rsid w:val="00A1187C"/>
    <w:rsid w:val="00A13E54"/>
    <w:rsid w:val="00A17F63"/>
    <w:rsid w:val="00A2193B"/>
    <w:rsid w:val="00A2351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499"/>
    <w:rsid w:val="00A62A77"/>
    <w:rsid w:val="00A63483"/>
    <w:rsid w:val="00A647A4"/>
    <w:rsid w:val="00A657D7"/>
    <w:rsid w:val="00A660AC"/>
    <w:rsid w:val="00A669DC"/>
    <w:rsid w:val="00A67E6C"/>
    <w:rsid w:val="00A71B99"/>
    <w:rsid w:val="00A739D0"/>
    <w:rsid w:val="00A761D4"/>
    <w:rsid w:val="00A77EC4"/>
    <w:rsid w:val="00A857DE"/>
    <w:rsid w:val="00A91BA7"/>
    <w:rsid w:val="00A92879"/>
    <w:rsid w:val="00A9442A"/>
    <w:rsid w:val="00AA016F"/>
    <w:rsid w:val="00AA1ED6"/>
    <w:rsid w:val="00AA51D6"/>
    <w:rsid w:val="00AB0BC8"/>
    <w:rsid w:val="00AB11CA"/>
    <w:rsid w:val="00AB14D9"/>
    <w:rsid w:val="00AB3BF0"/>
    <w:rsid w:val="00AB4AB8"/>
    <w:rsid w:val="00AB655E"/>
    <w:rsid w:val="00AC007F"/>
    <w:rsid w:val="00AC2ECD"/>
    <w:rsid w:val="00AC3119"/>
    <w:rsid w:val="00AC49FB"/>
    <w:rsid w:val="00AC5A10"/>
    <w:rsid w:val="00AC78C1"/>
    <w:rsid w:val="00AD007B"/>
    <w:rsid w:val="00AD0AA3"/>
    <w:rsid w:val="00AD2ED0"/>
    <w:rsid w:val="00AD3B22"/>
    <w:rsid w:val="00AD3F94"/>
    <w:rsid w:val="00AD4A5A"/>
    <w:rsid w:val="00AE27AC"/>
    <w:rsid w:val="00AE40E0"/>
    <w:rsid w:val="00AE4DBA"/>
    <w:rsid w:val="00AE4F07"/>
    <w:rsid w:val="00AE61E9"/>
    <w:rsid w:val="00AF0D36"/>
    <w:rsid w:val="00AF1C5D"/>
    <w:rsid w:val="00AF42D7"/>
    <w:rsid w:val="00AF6032"/>
    <w:rsid w:val="00B006FE"/>
    <w:rsid w:val="00B007CB"/>
    <w:rsid w:val="00B008CE"/>
    <w:rsid w:val="00B02AA9"/>
    <w:rsid w:val="00B02FA3"/>
    <w:rsid w:val="00B05084"/>
    <w:rsid w:val="00B157F9"/>
    <w:rsid w:val="00B20256"/>
    <w:rsid w:val="00B205C2"/>
    <w:rsid w:val="00B20D09"/>
    <w:rsid w:val="00B2763F"/>
    <w:rsid w:val="00B277FE"/>
    <w:rsid w:val="00B27AAC"/>
    <w:rsid w:val="00B30929"/>
    <w:rsid w:val="00B372AA"/>
    <w:rsid w:val="00B40445"/>
    <w:rsid w:val="00B409E0"/>
    <w:rsid w:val="00B41888"/>
    <w:rsid w:val="00B45A52"/>
    <w:rsid w:val="00B46175"/>
    <w:rsid w:val="00B548B7"/>
    <w:rsid w:val="00B664C7"/>
    <w:rsid w:val="00B713D8"/>
    <w:rsid w:val="00B739F6"/>
    <w:rsid w:val="00B77F53"/>
    <w:rsid w:val="00B81A6C"/>
    <w:rsid w:val="00B83D45"/>
    <w:rsid w:val="00B85DE5"/>
    <w:rsid w:val="00B90F73"/>
    <w:rsid w:val="00B93B59"/>
    <w:rsid w:val="00B9406A"/>
    <w:rsid w:val="00B97586"/>
    <w:rsid w:val="00BA2280"/>
    <w:rsid w:val="00BA2A08"/>
    <w:rsid w:val="00BA56D2"/>
    <w:rsid w:val="00BA76E0"/>
    <w:rsid w:val="00BB2A25"/>
    <w:rsid w:val="00BB51E9"/>
    <w:rsid w:val="00BC0FDC"/>
    <w:rsid w:val="00BC3053"/>
    <w:rsid w:val="00BC4D2E"/>
    <w:rsid w:val="00BD48AC"/>
    <w:rsid w:val="00BD4F1F"/>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223"/>
    <w:rsid w:val="00C279B5"/>
    <w:rsid w:val="00C27C45"/>
    <w:rsid w:val="00C3719D"/>
    <w:rsid w:val="00C37CB2"/>
    <w:rsid w:val="00C473A5"/>
    <w:rsid w:val="00C54995"/>
    <w:rsid w:val="00C54D41"/>
    <w:rsid w:val="00C56E72"/>
    <w:rsid w:val="00C60783"/>
    <w:rsid w:val="00C64672"/>
    <w:rsid w:val="00C70697"/>
    <w:rsid w:val="00C72093"/>
    <w:rsid w:val="00C72EF4"/>
    <w:rsid w:val="00C744FE"/>
    <w:rsid w:val="00C75D2F"/>
    <w:rsid w:val="00C767BE"/>
    <w:rsid w:val="00C76E3C"/>
    <w:rsid w:val="00C77664"/>
    <w:rsid w:val="00C81568"/>
    <w:rsid w:val="00C84579"/>
    <w:rsid w:val="00C9027A"/>
    <w:rsid w:val="00C9068E"/>
    <w:rsid w:val="00C93814"/>
    <w:rsid w:val="00C93C4B"/>
    <w:rsid w:val="00C944AB"/>
    <w:rsid w:val="00C95B40"/>
    <w:rsid w:val="00C96143"/>
    <w:rsid w:val="00CA1ED8"/>
    <w:rsid w:val="00CA263B"/>
    <w:rsid w:val="00CA45D6"/>
    <w:rsid w:val="00CA61D4"/>
    <w:rsid w:val="00CB1F63"/>
    <w:rsid w:val="00CB5BFE"/>
    <w:rsid w:val="00CB7170"/>
    <w:rsid w:val="00CC022D"/>
    <w:rsid w:val="00CC040E"/>
    <w:rsid w:val="00CC111F"/>
    <w:rsid w:val="00CC2011"/>
    <w:rsid w:val="00CC25C7"/>
    <w:rsid w:val="00CC3EA0"/>
    <w:rsid w:val="00CC7B45"/>
    <w:rsid w:val="00CD1188"/>
    <w:rsid w:val="00CD2ED1"/>
    <w:rsid w:val="00CD337B"/>
    <w:rsid w:val="00CE0424"/>
    <w:rsid w:val="00CE6081"/>
    <w:rsid w:val="00CE7561"/>
    <w:rsid w:val="00CF1354"/>
    <w:rsid w:val="00CF3B1F"/>
    <w:rsid w:val="00CF3BF6"/>
    <w:rsid w:val="00CF625B"/>
    <w:rsid w:val="00CF687E"/>
    <w:rsid w:val="00D0340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00E"/>
    <w:rsid w:val="00D546FF"/>
    <w:rsid w:val="00D55AD5"/>
    <w:rsid w:val="00D56FD6"/>
    <w:rsid w:val="00D576CA"/>
    <w:rsid w:val="00D61AF5"/>
    <w:rsid w:val="00D629EB"/>
    <w:rsid w:val="00D652B5"/>
    <w:rsid w:val="00D66155"/>
    <w:rsid w:val="00D708B0"/>
    <w:rsid w:val="00D75870"/>
    <w:rsid w:val="00D77B1D"/>
    <w:rsid w:val="00D8021F"/>
    <w:rsid w:val="00D80383"/>
    <w:rsid w:val="00D823C6"/>
    <w:rsid w:val="00D82757"/>
    <w:rsid w:val="00D8327F"/>
    <w:rsid w:val="00D86CA3"/>
    <w:rsid w:val="00D871CE"/>
    <w:rsid w:val="00D9196D"/>
    <w:rsid w:val="00D92982"/>
    <w:rsid w:val="00D97202"/>
    <w:rsid w:val="00DA053E"/>
    <w:rsid w:val="00DA305E"/>
    <w:rsid w:val="00DA5417"/>
    <w:rsid w:val="00DA56E8"/>
    <w:rsid w:val="00DB0A9F"/>
    <w:rsid w:val="00DB377D"/>
    <w:rsid w:val="00DC2D36"/>
    <w:rsid w:val="00DC53EF"/>
    <w:rsid w:val="00DE5608"/>
    <w:rsid w:val="00DE58D0"/>
    <w:rsid w:val="00DE654F"/>
    <w:rsid w:val="00DF0349"/>
    <w:rsid w:val="00DF0B6E"/>
    <w:rsid w:val="00DF15E0"/>
    <w:rsid w:val="00DF1753"/>
    <w:rsid w:val="00DF37A0"/>
    <w:rsid w:val="00E110E7"/>
    <w:rsid w:val="00E11B20"/>
    <w:rsid w:val="00E1287F"/>
    <w:rsid w:val="00E12AD1"/>
    <w:rsid w:val="00E137BA"/>
    <w:rsid w:val="00E17FA2"/>
    <w:rsid w:val="00E22330"/>
    <w:rsid w:val="00E26196"/>
    <w:rsid w:val="00E271D2"/>
    <w:rsid w:val="00E3046E"/>
    <w:rsid w:val="00E30B5A"/>
    <w:rsid w:val="00E3123D"/>
    <w:rsid w:val="00E31461"/>
    <w:rsid w:val="00E31D43"/>
    <w:rsid w:val="00E32608"/>
    <w:rsid w:val="00E34188"/>
    <w:rsid w:val="00E34B6E"/>
    <w:rsid w:val="00E34F07"/>
    <w:rsid w:val="00E35559"/>
    <w:rsid w:val="00E3723A"/>
    <w:rsid w:val="00E37860"/>
    <w:rsid w:val="00E411DE"/>
    <w:rsid w:val="00E446F1"/>
    <w:rsid w:val="00E46886"/>
    <w:rsid w:val="00E47AEF"/>
    <w:rsid w:val="00E52373"/>
    <w:rsid w:val="00E53B75"/>
    <w:rsid w:val="00E54E3B"/>
    <w:rsid w:val="00E55576"/>
    <w:rsid w:val="00E57565"/>
    <w:rsid w:val="00E63838"/>
    <w:rsid w:val="00E64434"/>
    <w:rsid w:val="00E67C51"/>
    <w:rsid w:val="00E72EFC"/>
    <w:rsid w:val="00E731A9"/>
    <w:rsid w:val="00E744BA"/>
    <w:rsid w:val="00E757F9"/>
    <w:rsid w:val="00E758EC"/>
    <w:rsid w:val="00E8234C"/>
    <w:rsid w:val="00E83AA9"/>
    <w:rsid w:val="00E85928"/>
    <w:rsid w:val="00E869D1"/>
    <w:rsid w:val="00E87822"/>
    <w:rsid w:val="00E90395"/>
    <w:rsid w:val="00E90E49"/>
    <w:rsid w:val="00E917F9"/>
    <w:rsid w:val="00E9291C"/>
    <w:rsid w:val="00E93FFE"/>
    <w:rsid w:val="00E94F8A"/>
    <w:rsid w:val="00EA7A41"/>
    <w:rsid w:val="00EB077B"/>
    <w:rsid w:val="00EB2568"/>
    <w:rsid w:val="00EB4EA2"/>
    <w:rsid w:val="00EB7D39"/>
    <w:rsid w:val="00EC24D5"/>
    <w:rsid w:val="00EC27C6"/>
    <w:rsid w:val="00EC4207"/>
    <w:rsid w:val="00EC5653"/>
    <w:rsid w:val="00EC71CE"/>
    <w:rsid w:val="00ED1006"/>
    <w:rsid w:val="00EE3B62"/>
    <w:rsid w:val="00EF18FE"/>
    <w:rsid w:val="00EF31EC"/>
    <w:rsid w:val="00EF5787"/>
    <w:rsid w:val="00EF60D0"/>
    <w:rsid w:val="00F0528D"/>
    <w:rsid w:val="00F063FB"/>
    <w:rsid w:val="00F06C67"/>
    <w:rsid w:val="00F06DFD"/>
    <w:rsid w:val="00F071D1"/>
    <w:rsid w:val="00F07533"/>
    <w:rsid w:val="00F10629"/>
    <w:rsid w:val="00F15FA5"/>
    <w:rsid w:val="00F209B7"/>
    <w:rsid w:val="00F2376F"/>
    <w:rsid w:val="00F243D8"/>
    <w:rsid w:val="00F26CBD"/>
    <w:rsid w:val="00F3021B"/>
    <w:rsid w:val="00F302CB"/>
    <w:rsid w:val="00F30828"/>
    <w:rsid w:val="00F313D6"/>
    <w:rsid w:val="00F40F0C"/>
    <w:rsid w:val="00F4766C"/>
    <w:rsid w:val="00F5060E"/>
    <w:rsid w:val="00F507D1"/>
    <w:rsid w:val="00F519CE"/>
    <w:rsid w:val="00F51ADA"/>
    <w:rsid w:val="00F53E50"/>
    <w:rsid w:val="00F60203"/>
    <w:rsid w:val="00F607C5"/>
    <w:rsid w:val="00F60DEA"/>
    <w:rsid w:val="00F6302A"/>
    <w:rsid w:val="00F63950"/>
    <w:rsid w:val="00F64C2B"/>
    <w:rsid w:val="00F651BE"/>
    <w:rsid w:val="00F67F53"/>
    <w:rsid w:val="00F703BE"/>
    <w:rsid w:val="00F71F69"/>
    <w:rsid w:val="00F72B72"/>
    <w:rsid w:val="00F74BB9"/>
    <w:rsid w:val="00F75582"/>
    <w:rsid w:val="00F75D70"/>
    <w:rsid w:val="00F76EFA"/>
    <w:rsid w:val="00F804BE"/>
    <w:rsid w:val="00F817CE"/>
    <w:rsid w:val="00F8456C"/>
    <w:rsid w:val="00F859D8"/>
    <w:rsid w:val="00F868F5"/>
    <w:rsid w:val="00F9056A"/>
    <w:rsid w:val="00F90F8D"/>
    <w:rsid w:val="00F92782"/>
    <w:rsid w:val="00F93AA9"/>
    <w:rsid w:val="00F96985"/>
    <w:rsid w:val="00F97838"/>
    <w:rsid w:val="00FA2BB3"/>
    <w:rsid w:val="00FB39A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790DD20-CDA0-43B8-8EB0-58D285EE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C1C3ABE-844B-45BA-9017-7626D2454577}"/>
</file>

<file path=customXml/itemProps4.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6990</TotalTime>
  <Pages>7</Pages>
  <Words>2807</Words>
  <Characters>15233</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18004</CharactersWithSpaces>
  <SharedDoc>false</SharedDoc>
  <HLinks>
    <vt:vector size="72" baseType="variant">
      <vt:variant>
        <vt:i4>1179700</vt:i4>
      </vt:variant>
      <vt:variant>
        <vt:i4>62</vt:i4>
      </vt:variant>
      <vt:variant>
        <vt:i4>0</vt:i4>
      </vt:variant>
      <vt:variant>
        <vt:i4>5</vt:i4>
      </vt:variant>
      <vt:variant>
        <vt:lpwstr/>
      </vt:variant>
      <vt:variant>
        <vt:lpwstr>_Toc51252819</vt:lpwstr>
      </vt:variant>
      <vt:variant>
        <vt:i4>1245236</vt:i4>
      </vt:variant>
      <vt:variant>
        <vt:i4>59</vt:i4>
      </vt:variant>
      <vt:variant>
        <vt:i4>0</vt:i4>
      </vt:variant>
      <vt:variant>
        <vt:i4>5</vt:i4>
      </vt:variant>
      <vt:variant>
        <vt:lpwstr/>
      </vt:variant>
      <vt:variant>
        <vt:lpwstr>_Toc51252818</vt:lpwstr>
      </vt:variant>
      <vt:variant>
        <vt:i4>1835060</vt:i4>
      </vt:variant>
      <vt:variant>
        <vt:i4>56</vt:i4>
      </vt:variant>
      <vt:variant>
        <vt:i4>0</vt:i4>
      </vt:variant>
      <vt:variant>
        <vt:i4>5</vt:i4>
      </vt:variant>
      <vt:variant>
        <vt:lpwstr/>
      </vt:variant>
      <vt:variant>
        <vt:lpwstr>_Toc51252817</vt:lpwstr>
      </vt:variant>
      <vt:variant>
        <vt:i4>1900596</vt:i4>
      </vt:variant>
      <vt:variant>
        <vt:i4>53</vt:i4>
      </vt:variant>
      <vt:variant>
        <vt:i4>0</vt:i4>
      </vt:variant>
      <vt:variant>
        <vt:i4>5</vt:i4>
      </vt:variant>
      <vt:variant>
        <vt:lpwstr/>
      </vt:variant>
      <vt:variant>
        <vt:lpwstr>_Toc51252816</vt:lpwstr>
      </vt:variant>
      <vt:variant>
        <vt:i4>1966132</vt:i4>
      </vt:variant>
      <vt:variant>
        <vt:i4>50</vt:i4>
      </vt:variant>
      <vt:variant>
        <vt:i4>0</vt:i4>
      </vt:variant>
      <vt:variant>
        <vt:i4>5</vt:i4>
      </vt:variant>
      <vt:variant>
        <vt:lpwstr/>
      </vt:variant>
      <vt:variant>
        <vt:lpwstr>_Toc51252815</vt:lpwstr>
      </vt:variant>
      <vt:variant>
        <vt:i4>2031668</vt:i4>
      </vt:variant>
      <vt:variant>
        <vt:i4>47</vt:i4>
      </vt:variant>
      <vt:variant>
        <vt:i4>0</vt:i4>
      </vt:variant>
      <vt:variant>
        <vt:i4>5</vt:i4>
      </vt:variant>
      <vt:variant>
        <vt:lpwstr/>
      </vt:variant>
      <vt:variant>
        <vt:lpwstr>_Toc51252814</vt:lpwstr>
      </vt:variant>
      <vt:variant>
        <vt:i4>1572916</vt:i4>
      </vt:variant>
      <vt:variant>
        <vt:i4>44</vt:i4>
      </vt:variant>
      <vt:variant>
        <vt:i4>0</vt:i4>
      </vt:variant>
      <vt:variant>
        <vt:i4>5</vt:i4>
      </vt:variant>
      <vt:variant>
        <vt:lpwstr/>
      </vt:variant>
      <vt:variant>
        <vt:lpwstr>_Toc51252813</vt:lpwstr>
      </vt:variant>
      <vt:variant>
        <vt:i4>1638452</vt:i4>
      </vt:variant>
      <vt:variant>
        <vt:i4>38</vt:i4>
      </vt:variant>
      <vt:variant>
        <vt:i4>0</vt:i4>
      </vt:variant>
      <vt:variant>
        <vt:i4>5</vt:i4>
      </vt:variant>
      <vt:variant>
        <vt:lpwstr/>
      </vt:variant>
      <vt:variant>
        <vt:lpwstr>_Toc51252812</vt:lpwstr>
      </vt:variant>
      <vt:variant>
        <vt:i4>1703988</vt:i4>
      </vt:variant>
      <vt:variant>
        <vt:i4>35</vt:i4>
      </vt:variant>
      <vt:variant>
        <vt:i4>0</vt:i4>
      </vt:variant>
      <vt:variant>
        <vt:i4>5</vt:i4>
      </vt:variant>
      <vt:variant>
        <vt:lpwstr/>
      </vt:variant>
      <vt:variant>
        <vt:lpwstr>_Toc51252811</vt:lpwstr>
      </vt:variant>
      <vt:variant>
        <vt:i4>1769524</vt:i4>
      </vt:variant>
      <vt:variant>
        <vt:i4>32</vt:i4>
      </vt:variant>
      <vt:variant>
        <vt:i4>0</vt:i4>
      </vt:variant>
      <vt:variant>
        <vt:i4>5</vt:i4>
      </vt:variant>
      <vt:variant>
        <vt:lpwstr/>
      </vt:variant>
      <vt:variant>
        <vt:lpwstr>_Toc51252810</vt:lpwstr>
      </vt:variant>
      <vt:variant>
        <vt:i4>1179701</vt:i4>
      </vt:variant>
      <vt:variant>
        <vt:i4>29</vt:i4>
      </vt:variant>
      <vt:variant>
        <vt:i4>0</vt:i4>
      </vt:variant>
      <vt:variant>
        <vt:i4>5</vt:i4>
      </vt:variant>
      <vt:variant>
        <vt:lpwstr/>
      </vt:variant>
      <vt:variant>
        <vt:lpwstr>_Toc51252809</vt:lpwstr>
      </vt:variant>
      <vt:variant>
        <vt:i4>1245237</vt:i4>
      </vt:variant>
      <vt:variant>
        <vt:i4>26</vt:i4>
      </vt:variant>
      <vt:variant>
        <vt:i4>0</vt:i4>
      </vt:variant>
      <vt:variant>
        <vt:i4>5</vt:i4>
      </vt:variant>
      <vt:variant>
        <vt:lpwstr/>
      </vt:variant>
      <vt:variant>
        <vt:lpwstr>_Toc51252808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127</cp:revision>
  <cp:lastPrinted>2008-01-31T16:09:00Z</cp:lastPrinted>
  <dcterms:created xsi:type="dcterms:W3CDTF">2020-08-29T16:51:00Z</dcterms:created>
  <dcterms:modified xsi:type="dcterms:W3CDTF">2021-01-16T04:30:00Z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